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76A4CB" w14:textId="77777777" w:rsidR="008E3600" w:rsidRDefault="008E3600">
      <w:pPr>
        <w:pStyle w:val="BodyA"/>
        <w:suppressAutoHyphens/>
        <w:rPr>
          <w:rFonts w:ascii="Times New Roman" w:eastAsia="Times New Roman" w:hAnsi="Times New Roman" w:cs="Times New Roman"/>
          <w:sz w:val="24"/>
          <w:szCs w:val="24"/>
        </w:rPr>
      </w:pPr>
    </w:p>
    <w:p w14:paraId="0D9CC416" w14:textId="77777777" w:rsidR="008E3600" w:rsidRDefault="008E3600">
      <w:pPr>
        <w:pStyle w:val="BodyA"/>
        <w:suppressAutoHyphens/>
        <w:rPr>
          <w:rFonts w:ascii="Times New Roman" w:eastAsia="Times New Roman" w:hAnsi="Times New Roman" w:cs="Times New Roman"/>
          <w:sz w:val="24"/>
          <w:szCs w:val="24"/>
        </w:rPr>
      </w:pPr>
    </w:p>
    <w:p w14:paraId="521B2648" w14:textId="77777777" w:rsidR="008E3600" w:rsidRDefault="008E3600">
      <w:pPr>
        <w:pStyle w:val="BodyA"/>
        <w:suppressAutoHyphens/>
        <w:spacing w:line="480" w:lineRule="auto"/>
        <w:jc w:val="center"/>
        <w:rPr>
          <w:rFonts w:ascii="Times New Roman" w:eastAsia="Times New Roman" w:hAnsi="Times New Roman" w:cs="Times New Roman"/>
          <w:sz w:val="24"/>
          <w:szCs w:val="24"/>
        </w:rPr>
      </w:pPr>
    </w:p>
    <w:p w14:paraId="76986B06" w14:textId="77777777" w:rsidR="008E3600" w:rsidRDefault="008E3600">
      <w:pPr>
        <w:pStyle w:val="BodyA"/>
        <w:suppressAutoHyphens/>
        <w:spacing w:line="480" w:lineRule="auto"/>
        <w:jc w:val="center"/>
        <w:rPr>
          <w:rFonts w:ascii="Times New Roman" w:eastAsia="Times New Roman" w:hAnsi="Times New Roman" w:cs="Times New Roman"/>
          <w:sz w:val="24"/>
          <w:szCs w:val="24"/>
        </w:rPr>
      </w:pPr>
    </w:p>
    <w:p w14:paraId="504EC156" w14:textId="77777777" w:rsidR="008E3600" w:rsidRDefault="008E3600">
      <w:pPr>
        <w:pStyle w:val="BodyA"/>
        <w:suppressAutoHyphens/>
        <w:spacing w:line="480" w:lineRule="auto"/>
        <w:jc w:val="center"/>
        <w:rPr>
          <w:rFonts w:ascii="Times New Roman" w:eastAsia="Times New Roman" w:hAnsi="Times New Roman" w:cs="Times New Roman"/>
          <w:sz w:val="24"/>
          <w:szCs w:val="24"/>
        </w:rPr>
      </w:pPr>
    </w:p>
    <w:p w14:paraId="785BD954" w14:textId="77777777" w:rsidR="008E3600" w:rsidRDefault="008E3600">
      <w:pPr>
        <w:pStyle w:val="BodyA"/>
        <w:suppressAutoHyphens/>
        <w:spacing w:line="480" w:lineRule="auto"/>
        <w:jc w:val="center"/>
        <w:rPr>
          <w:rFonts w:ascii="Times New Roman" w:eastAsia="Times New Roman" w:hAnsi="Times New Roman" w:cs="Times New Roman"/>
          <w:sz w:val="24"/>
          <w:szCs w:val="24"/>
        </w:rPr>
      </w:pPr>
    </w:p>
    <w:p w14:paraId="76AD6A97" w14:textId="77777777" w:rsidR="008E3600" w:rsidRDefault="008E3600">
      <w:pPr>
        <w:pStyle w:val="BodyA"/>
        <w:suppressAutoHyphens/>
        <w:spacing w:line="480" w:lineRule="auto"/>
        <w:jc w:val="center"/>
        <w:rPr>
          <w:rFonts w:ascii="Times New Roman" w:eastAsia="Times New Roman" w:hAnsi="Times New Roman" w:cs="Times New Roman"/>
          <w:sz w:val="24"/>
          <w:szCs w:val="24"/>
        </w:rPr>
      </w:pPr>
    </w:p>
    <w:p w14:paraId="75DF2574" w14:textId="77777777" w:rsidR="008E3600" w:rsidRDefault="00BA2544">
      <w:pPr>
        <w:pStyle w:val="BodyA"/>
        <w:suppressAutoHyphens/>
        <w:spacing w:line="480" w:lineRule="auto"/>
        <w:jc w:val="center"/>
        <w:rPr>
          <w:rFonts w:ascii="Times New Roman" w:eastAsia="Times New Roman" w:hAnsi="Times New Roman" w:cs="Times New Roman"/>
          <w:sz w:val="24"/>
          <w:szCs w:val="24"/>
        </w:rPr>
      </w:pPr>
      <w:r>
        <w:rPr>
          <w:rFonts w:ascii="Times New Roman" w:hAnsi="Times New Roman"/>
          <w:sz w:val="24"/>
          <w:szCs w:val="24"/>
        </w:rPr>
        <w:t>Blood Donor Communication and Churn</w:t>
      </w:r>
    </w:p>
    <w:p w14:paraId="0CACC410" w14:textId="77777777" w:rsidR="008E3600" w:rsidRDefault="00BA2544">
      <w:pPr>
        <w:pStyle w:val="BodyA"/>
        <w:suppressAutoHyphens/>
        <w:spacing w:line="480" w:lineRule="auto"/>
        <w:jc w:val="center"/>
        <w:rPr>
          <w:rFonts w:ascii="Times New Roman" w:eastAsia="Times New Roman" w:hAnsi="Times New Roman" w:cs="Times New Roman"/>
          <w:sz w:val="24"/>
          <w:szCs w:val="24"/>
        </w:rPr>
      </w:pPr>
      <w:r>
        <w:rPr>
          <w:rFonts w:ascii="Times New Roman" w:hAnsi="Times New Roman"/>
          <w:sz w:val="24"/>
          <w:szCs w:val="24"/>
        </w:rPr>
        <w:t>Jeffery D. Combs</w:t>
      </w:r>
    </w:p>
    <w:p w14:paraId="5AEA4319" w14:textId="77777777" w:rsidR="008E3600" w:rsidRDefault="008E3600">
      <w:pPr>
        <w:pStyle w:val="BodyA"/>
        <w:suppressAutoHyphens/>
        <w:spacing w:line="480" w:lineRule="auto"/>
        <w:jc w:val="center"/>
        <w:rPr>
          <w:rFonts w:ascii="Times New Roman" w:eastAsia="Times New Roman" w:hAnsi="Times New Roman" w:cs="Times New Roman"/>
          <w:sz w:val="24"/>
          <w:szCs w:val="24"/>
        </w:rPr>
      </w:pPr>
    </w:p>
    <w:p w14:paraId="681CF324" w14:textId="77777777" w:rsidR="008E3600" w:rsidRDefault="00BA2544">
      <w:pPr>
        <w:pStyle w:val="BodyA"/>
        <w:suppressAutoHyphens/>
        <w:spacing w:line="480" w:lineRule="auto"/>
        <w:jc w:val="center"/>
        <w:rPr>
          <w:rFonts w:ascii="Times New Roman" w:eastAsia="Times New Roman" w:hAnsi="Times New Roman" w:cs="Times New Roman"/>
          <w:sz w:val="24"/>
          <w:szCs w:val="24"/>
        </w:rPr>
      </w:pPr>
      <w:r>
        <w:rPr>
          <w:rFonts w:ascii="Times New Roman" w:hAnsi="Times New Roman"/>
          <w:sz w:val="24"/>
          <w:szCs w:val="24"/>
        </w:rPr>
        <w:t>Survey in Marketing</w:t>
      </w:r>
    </w:p>
    <w:p w14:paraId="39A89CD9" w14:textId="77777777" w:rsidR="008E3600" w:rsidRDefault="00BA2544">
      <w:pPr>
        <w:pStyle w:val="BodyA"/>
        <w:suppressAutoHyphens/>
        <w:spacing w:line="480" w:lineRule="auto"/>
        <w:jc w:val="center"/>
        <w:rPr>
          <w:rFonts w:ascii="Times New Roman" w:eastAsia="Times New Roman" w:hAnsi="Times New Roman" w:cs="Times New Roman"/>
          <w:sz w:val="24"/>
          <w:szCs w:val="24"/>
        </w:rPr>
      </w:pPr>
      <w:r>
        <w:rPr>
          <w:rFonts w:ascii="Times New Roman" w:hAnsi="Times New Roman"/>
          <w:sz w:val="24"/>
          <w:szCs w:val="24"/>
        </w:rPr>
        <w:t>BUSM 558</w:t>
      </w:r>
    </w:p>
    <w:p w14:paraId="1495F279" w14:textId="77777777" w:rsidR="008E3600" w:rsidRDefault="00BA2544">
      <w:pPr>
        <w:pStyle w:val="BodyA"/>
        <w:suppressAutoHyphens/>
        <w:spacing w:line="480" w:lineRule="auto"/>
        <w:jc w:val="center"/>
        <w:rPr>
          <w:rFonts w:ascii="Times New Roman" w:eastAsia="Times New Roman" w:hAnsi="Times New Roman" w:cs="Times New Roman"/>
          <w:sz w:val="24"/>
          <w:szCs w:val="24"/>
        </w:rPr>
      </w:pPr>
      <w:r>
        <w:rPr>
          <w:rFonts w:ascii="Times New Roman" w:hAnsi="Times New Roman"/>
          <w:sz w:val="24"/>
          <w:szCs w:val="24"/>
        </w:rPr>
        <w:t>December 2</w:t>
      </w:r>
      <w:r w:rsidR="00B873DF">
        <w:rPr>
          <w:rFonts w:ascii="Times New Roman" w:hAnsi="Times New Roman"/>
          <w:sz w:val="24"/>
          <w:szCs w:val="24"/>
        </w:rPr>
        <w:t>2</w:t>
      </w:r>
      <w:r>
        <w:rPr>
          <w:rFonts w:ascii="Times New Roman" w:hAnsi="Times New Roman"/>
          <w:sz w:val="24"/>
          <w:szCs w:val="24"/>
        </w:rPr>
        <w:t>, 2015</w:t>
      </w:r>
    </w:p>
    <w:p w14:paraId="5783C3ED" w14:textId="77777777" w:rsidR="008E3600" w:rsidRDefault="00BA2544">
      <w:pPr>
        <w:pStyle w:val="BodyA"/>
        <w:suppressAutoHyphens/>
        <w:spacing w:line="480" w:lineRule="auto"/>
        <w:jc w:val="center"/>
        <w:rPr>
          <w:rFonts w:ascii="Times New Roman" w:eastAsia="Times New Roman" w:hAnsi="Times New Roman" w:cs="Times New Roman"/>
          <w:sz w:val="24"/>
          <w:szCs w:val="24"/>
        </w:rPr>
      </w:pPr>
      <w:r>
        <w:rPr>
          <w:rFonts w:ascii="Times New Roman" w:hAnsi="Times New Roman"/>
          <w:sz w:val="24"/>
          <w:szCs w:val="24"/>
        </w:rPr>
        <w:t>Dr. Adina Scruggs</w:t>
      </w:r>
    </w:p>
    <w:p w14:paraId="75004F3C" w14:textId="77777777" w:rsidR="008E3600" w:rsidRDefault="008E3600">
      <w:pPr>
        <w:pStyle w:val="BodyA"/>
        <w:suppressAutoHyphens/>
        <w:spacing w:line="480" w:lineRule="auto"/>
        <w:jc w:val="center"/>
        <w:rPr>
          <w:rFonts w:ascii="Times New Roman" w:eastAsia="Times New Roman" w:hAnsi="Times New Roman" w:cs="Times New Roman"/>
          <w:sz w:val="24"/>
          <w:szCs w:val="24"/>
        </w:rPr>
      </w:pPr>
    </w:p>
    <w:p w14:paraId="27EC9F78" w14:textId="77777777" w:rsidR="008E3600" w:rsidRDefault="00BA2544">
      <w:pPr>
        <w:pStyle w:val="BodyA"/>
        <w:suppressAutoHyphens/>
        <w:spacing w:line="480" w:lineRule="auto"/>
        <w:ind w:firstLine="360"/>
        <w:rPr>
          <w:rFonts w:ascii="Times New Roman" w:eastAsia="Times New Roman" w:hAnsi="Times New Roman" w:cs="Times New Roman"/>
          <w:sz w:val="24"/>
          <w:szCs w:val="24"/>
        </w:rPr>
      </w:pPr>
      <w:r>
        <w:rPr>
          <w:rFonts w:ascii="Times New Roman" w:hAnsi="Times New Roman"/>
          <w:sz w:val="24"/>
          <w:szCs w:val="24"/>
        </w:rPr>
        <w:t xml:space="preserve"> </w:t>
      </w:r>
    </w:p>
    <w:p w14:paraId="3BAE7D02" w14:textId="77777777" w:rsidR="008E3600" w:rsidRDefault="008E3600">
      <w:pPr>
        <w:pStyle w:val="BodyA"/>
        <w:suppressAutoHyphens/>
        <w:rPr>
          <w:rFonts w:ascii="Times New Roman" w:eastAsia="Times New Roman" w:hAnsi="Times New Roman" w:cs="Times New Roman"/>
          <w:sz w:val="24"/>
          <w:szCs w:val="24"/>
        </w:rPr>
      </w:pPr>
    </w:p>
    <w:p w14:paraId="2FFE9B55" w14:textId="77777777" w:rsidR="008E3600" w:rsidRDefault="008E3600">
      <w:pPr>
        <w:pStyle w:val="BodyA"/>
        <w:suppressAutoHyphens/>
        <w:rPr>
          <w:rFonts w:ascii="Times New Roman" w:eastAsia="Times New Roman" w:hAnsi="Times New Roman" w:cs="Times New Roman"/>
          <w:sz w:val="24"/>
          <w:szCs w:val="24"/>
        </w:rPr>
      </w:pPr>
    </w:p>
    <w:p w14:paraId="5599CB0B" w14:textId="77777777" w:rsidR="008E3600" w:rsidRDefault="00BA2544">
      <w:pPr>
        <w:pStyle w:val="BodyA"/>
        <w:suppressAutoHyphens/>
        <w:spacing w:line="480" w:lineRule="auto"/>
        <w:jc w:val="center"/>
      </w:pPr>
      <w:r>
        <w:rPr>
          <w:rFonts w:ascii="Arial Unicode MS" w:eastAsia="Arial Unicode MS" w:hAnsi="Arial Unicode MS" w:cs="Arial Unicode MS"/>
          <w:sz w:val="24"/>
          <w:szCs w:val="24"/>
        </w:rPr>
        <w:br w:type="page"/>
      </w:r>
    </w:p>
    <w:p w14:paraId="080F438F" w14:textId="77777777" w:rsidR="008E3600" w:rsidRDefault="00BA2544">
      <w:pPr>
        <w:pStyle w:val="Body"/>
        <w:spacing w:line="480" w:lineRule="auto"/>
        <w:ind w:firstLine="360"/>
      </w:pPr>
      <w:r>
        <w:lastRenderedPageBreak/>
        <w:t>This report will look at trends in repeat blood donations. Special attention will be given to the first year of a donor. This paper will also examine attrition due to over-communication, which is known as “churn.” Understanding donation and communication trends will help the community blood bank meet its mandate of providing a safe and adequate supply of blood and blood comp</w:t>
      </w:r>
      <w:r>
        <w:t>o</w:t>
      </w:r>
      <w:r>
        <w:t xml:space="preserve">nents in a cost-effective manner to every patient in need.  </w:t>
      </w:r>
    </w:p>
    <w:p w14:paraId="4C9F8144" w14:textId="77777777" w:rsidR="008E3600" w:rsidRDefault="00BA2544">
      <w:pPr>
        <w:pStyle w:val="Body"/>
        <w:spacing w:line="480" w:lineRule="auto"/>
        <w:ind w:firstLine="360"/>
      </w:pPr>
      <w:r>
        <w:t>Blood Assurance is a blood center established in Chattanooga, TN in 1972. Before Blood A</w:t>
      </w:r>
      <w:r>
        <w:t>s</w:t>
      </w:r>
      <w:r>
        <w:t>surance, each hospital was on it’s own to collect blood products from the community or acquire them from blood banks in other communities (About, n. d.). They currently operate in parts of Tennessee, Georgia, Alabama, North Carolina and Virginia.</w:t>
      </w:r>
    </w:p>
    <w:p w14:paraId="1E2EF003" w14:textId="77777777" w:rsidR="008E3600" w:rsidRDefault="00BA2544">
      <w:pPr>
        <w:pStyle w:val="Body"/>
        <w:spacing w:line="480" w:lineRule="auto"/>
        <w:ind w:firstLine="360"/>
      </w:pPr>
      <w:r>
        <w:t xml:space="preserve">The Brazilian bimonthly hematological journal </w:t>
      </w:r>
      <w:proofErr w:type="spellStart"/>
      <w:r>
        <w:rPr>
          <w:i/>
          <w:iCs/>
        </w:rPr>
        <w:t>Revista</w:t>
      </w:r>
      <w:proofErr w:type="spellEnd"/>
      <w:r>
        <w:rPr>
          <w:i/>
          <w:iCs/>
        </w:rPr>
        <w:t xml:space="preserve"> </w:t>
      </w:r>
      <w:proofErr w:type="spellStart"/>
      <w:r>
        <w:rPr>
          <w:i/>
          <w:iCs/>
        </w:rPr>
        <w:t>Brasileira</w:t>
      </w:r>
      <w:proofErr w:type="spellEnd"/>
      <w:r>
        <w:rPr>
          <w:i/>
          <w:iCs/>
        </w:rPr>
        <w:t xml:space="preserve"> de </w:t>
      </w:r>
      <w:proofErr w:type="spellStart"/>
      <w:r>
        <w:rPr>
          <w:i/>
          <w:iCs/>
        </w:rPr>
        <w:t>Hematologia</w:t>
      </w:r>
      <w:proofErr w:type="spellEnd"/>
      <w:r>
        <w:rPr>
          <w:i/>
          <w:iCs/>
        </w:rPr>
        <w:t xml:space="preserve"> e </w:t>
      </w:r>
      <w:proofErr w:type="spellStart"/>
      <w:r>
        <w:rPr>
          <w:i/>
          <w:iCs/>
        </w:rPr>
        <w:t>Hemo</w:t>
      </w:r>
      <w:r>
        <w:rPr>
          <w:i/>
          <w:iCs/>
        </w:rPr>
        <w:t>t</w:t>
      </w:r>
      <w:r>
        <w:rPr>
          <w:i/>
          <w:iCs/>
        </w:rPr>
        <w:t>erapia</w:t>
      </w:r>
      <w:proofErr w:type="spellEnd"/>
      <w:r>
        <w:t xml:space="preserve"> (</w:t>
      </w:r>
      <w:r>
        <w:rPr>
          <w:i/>
          <w:iCs/>
        </w:rPr>
        <w:t xml:space="preserve">Brazilian Journal of Hematology and </w:t>
      </w:r>
      <w:proofErr w:type="spellStart"/>
      <w:r>
        <w:rPr>
          <w:i/>
          <w:iCs/>
        </w:rPr>
        <w:t>Hemotherapy</w:t>
      </w:r>
      <w:proofErr w:type="spellEnd"/>
      <w:r>
        <w:t xml:space="preserve">) published the findings of a decade-long study on the return rates of blood donors. The authors of </w:t>
      </w:r>
      <w:r>
        <w:rPr>
          <w:lang w:val="de-DE"/>
        </w:rPr>
        <w:t>“</w:t>
      </w:r>
      <w:r>
        <w:t>Evaluation of the Return Rate of Volunteer Blood Donors” are from various hematological, statistical, and public health bac</w:t>
      </w:r>
      <w:r>
        <w:t>k</w:t>
      </w:r>
      <w:r>
        <w:t>grounds in S</w:t>
      </w:r>
      <w:proofErr w:type="spellStart"/>
      <w:r>
        <w:rPr>
          <w:lang w:val="pt-PT"/>
        </w:rPr>
        <w:t>ão</w:t>
      </w:r>
      <w:proofErr w:type="spellEnd"/>
      <w:r>
        <w:rPr>
          <w:lang w:val="pt-PT"/>
        </w:rPr>
        <w:t xml:space="preserve"> Paulo</w:t>
      </w:r>
      <w:r>
        <w:t xml:space="preserve">, Brazil including the Center for Quantitative Methods at </w:t>
      </w:r>
      <w:r>
        <w:rPr>
          <w:lang w:val="pt-PT"/>
        </w:rPr>
        <w:t xml:space="preserve">Universidade de São Paulo Faculdade de Medicina de </w:t>
      </w:r>
      <w:proofErr w:type="spellStart"/>
      <w:r>
        <w:rPr>
          <w:lang w:val="pt-PT"/>
        </w:rPr>
        <w:t>Ribeirã</w:t>
      </w:r>
      <w:proofErr w:type="spellEnd"/>
      <w:r>
        <w:t xml:space="preserve">o </w:t>
      </w:r>
      <w:proofErr w:type="spellStart"/>
      <w:r>
        <w:t>Preto</w:t>
      </w:r>
      <w:proofErr w:type="spellEnd"/>
      <w:r>
        <w:t>,</w:t>
      </w:r>
      <w:r>
        <w:rPr>
          <w:vertAlign w:val="superscript"/>
        </w:rPr>
        <w:footnoteReference w:id="2"/>
      </w:r>
      <w:r>
        <w:t xml:space="preserve"> </w:t>
      </w:r>
      <w:r>
        <w:rPr>
          <w:vertAlign w:val="superscript"/>
        </w:rPr>
        <w:footnoteReference w:id="3"/>
      </w:r>
      <w:r>
        <w:t xml:space="preserve"> the </w:t>
      </w:r>
      <w:proofErr w:type="spellStart"/>
      <w:r>
        <w:rPr>
          <w:lang w:val="pt-PT"/>
        </w:rPr>
        <w:t>Blood</w:t>
      </w:r>
      <w:proofErr w:type="spellEnd"/>
      <w:r>
        <w:rPr>
          <w:lang w:val="pt-PT"/>
        </w:rPr>
        <w:t xml:space="preserve"> </w:t>
      </w:r>
      <w:proofErr w:type="spellStart"/>
      <w:r>
        <w:rPr>
          <w:lang w:val="pt-PT"/>
        </w:rPr>
        <w:t>Center</w:t>
      </w:r>
      <w:proofErr w:type="spellEnd"/>
      <w:r>
        <w:rPr>
          <w:lang w:val="pt-PT"/>
        </w:rPr>
        <w:t xml:space="preserve"> </w:t>
      </w:r>
      <w:proofErr w:type="spellStart"/>
      <w:r>
        <w:rPr>
          <w:lang w:val="pt-PT"/>
        </w:rPr>
        <w:t>of</w:t>
      </w:r>
      <w:proofErr w:type="spellEnd"/>
      <w:r>
        <w:rPr>
          <w:lang w:val="pt-PT"/>
        </w:rPr>
        <w:t xml:space="preserve"> </w:t>
      </w:r>
      <w:proofErr w:type="spellStart"/>
      <w:r>
        <w:rPr>
          <w:lang w:val="pt-PT"/>
        </w:rPr>
        <w:t>Ribeirã</w:t>
      </w:r>
      <w:proofErr w:type="spellEnd"/>
      <w:r>
        <w:t xml:space="preserve">o </w:t>
      </w:r>
      <w:proofErr w:type="spellStart"/>
      <w:r>
        <w:t>Preto</w:t>
      </w:r>
      <w:proofErr w:type="spellEnd"/>
      <w:r>
        <w:t xml:space="preserve"> Foundation on Hematology Unit of </w:t>
      </w:r>
      <w:proofErr w:type="spellStart"/>
      <w:r>
        <w:t>Batatais</w:t>
      </w:r>
      <w:proofErr w:type="spellEnd"/>
      <w:r>
        <w:t>,</w:t>
      </w:r>
      <w:r>
        <w:rPr>
          <w:vertAlign w:val="superscript"/>
        </w:rPr>
        <w:footnoteReference w:id="4"/>
      </w:r>
      <w:r>
        <w:t xml:space="preserve"> and the </w:t>
      </w:r>
      <w:proofErr w:type="spellStart"/>
      <w:r>
        <w:rPr>
          <w:lang w:val="pt-PT"/>
        </w:rPr>
        <w:t>Blood</w:t>
      </w:r>
      <w:proofErr w:type="spellEnd"/>
      <w:r>
        <w:rPr>
          <w:lang w:val="pt-PT"/>
        </w:rPr>
        <w:t xml:space="preserve"> </w:t>
      </w:r>
      <w:proofErr w:type="spellStart"/>
      <w:r>
        <w:rPr>
          <w:lang w:val="pt-PT"/>
        </w:rPr>
        <w:t>Center</w:t>
      </w:r>
      <w:proofErr w:type="spellEnd"/>
      <w:r>
        <w:rPr>
          <w:lang w:val="pt-PT"/>
        </w:rPr>
        <w:t xml:space="preserve"> </w:t>
      </w:r>
      <w:proofErr w:type="spellStart"/>
      <w:r>
        <w:rPr>
          <w:lang w:val="pt-PT"/>
        </w:rPr>
        <w:t>of</w:t>
      </w:r>
      <w:proofErr w:type="spellEnd"/>
      <w:r>
        <w:rPr>
          <w:lang w:val="pt-PT"/>
        </w:rPr>
        <w:t xml:space="preserve"> </w:t>
      </w:r>
      <w:proofErr w:type="spellStart"/>
      <w:r>
        <w:rPr>
          <w:lang w:val="pt-PT"/>
        </w:rPr>
        <w:t>Ribeirã</w:t>
      </w:r>
      <w:proofErr w:type="spellEnd"/>
      <w:r>
        <w:t xml:space="preserve">o </w:t>
      </w:r>
      <w:proofErr w:type="spellStart"/>
      <w:r>
        <w:t>Preto</w:t>
      </w:r>
      <w:proofErr w:type="spellEnd"/>
      <w:r>
        <w:t xml:space="preserve"> Found</w:t>
      </w:r>
      <w:r>
        <w:t>a</w:t>
      </w:r>
      <w:r>
        <w:lastRenderedPageBreak/>
        <w:t>tion.</w:t>
      </w:r>
      <w:r>
        <w:rPr>
          <w:vertAlign w:val="superscript"/>
        </w:rPr>
        <w:footnoteReference w:id="5"/>
      </w:r>
      <w:r>
        <w:t xml:space="preserve"> </w:t>
      </w:r>
      <w:proofErr w:type="spellStart"/>
      <w:r>
        <w:rPr>
          <w:lang w:val="pt-PT"/>
        </w:rPr>
        <w:t>Lourenç</w:t>
      </w:r>
      <w:proofErr w:type="spellEnd"/>
      <w:r>
        <w:t xml:space="preserve">on, Almeida, </w:t>
      </w:r>
      <w:proofErr w:type="spellStart"/>
      <w:r>
        <w:t>Ferriera</w:t>
      </w:r>
      <w:proofErr w:type="spellEnd"/>
      <w:r>
        <w:t xml:space="preserve"> and Martinez studied files of 155,553 donors from the years 1996 to 2005. They used this information to determine the return rate of first-time blood donors at the Blood Center of </w:t>
      </w:r>
      <w:proofErr w:type="spellStart"/>
      <w:r>
        <w:t>Ribeir</w:t>
      </w:r>
      <w:proofErr w:type="spellEnd"/>
      <w:r>
        <w:rPr>
          <w:lang w:val="pt-PT"/>
        </w:rPr>
        <w:t>ã</w:t>
      </w:r>
      <w:r>
        <w:t xml:space="preserve">o </w:t>
      </w:r>
      <w:proofErr w:type="spellStart"/>
      <w:r>
        <w:t>Preto</w:t>
      </w:r>
      <w:proofErr w:type="spellEnd"/>
      <w:r>
        <w:t xml:space="preserve"> Foundation in S</w:t>
      </w:r>
      <w:proofErr w:type="spellStart"/>
      <w:r>
        <w:rPr>
          <w:lang w:val="pt-PT"/>
        </w:rPr>
        <w:t>ão</w:t>
      </w:r>
      <w:proofErr w:type="spellEnd"/>
      <w:r>
        <w:rPr>
          <w:lang w:val="pt-PT"/>
        </w:rPr>
        <w:t xml:space="preserve"> Paulo</w:t>
      </w:r>
      <w:r>
        <w:t xml:space="preserve"> (</w:t>
      </w:r>
      <w:proofErr w:type="spellStart"/>
      <w:r>
        <w:rPr>
          <w:lang w:val="pt-PT"/>
        </w:rPr>
        <w:t>Lourenç</w:t>
      </w:r>
      <w:proofErr w:type="spellEnd"/>
      <w:r>
        <w:t xml:space="preserve">on, 2011).  </w:t>
      </w:r>
    </w:p>
    <w:p w14:paraId="09BA628F" w14:textId="77777777" w:rsidR="008E3600" w:rsidRDefault="00BA2544">
      <w:pPr>
        <w:pStyle w:val="BodyB"/>
        <w:suppressAutoHyphens/>
        <w:spacing w:line="480" w:lineRule="auto"/>
        <w:ind w:firstLine="360"/>
      </w:pPr>
      <w:r>
        <w:t xml:space="preserve">In the United States, 60% of the </w:t>
      </w:r>
      <w:proofErr w:type="gramStart"/>
      <w:r>
        <w:t>population are</w:t>
      </w:r>
      <w:proofErr w:type="gramEnd"/>
      <w:r>
        <w:t xml:space="preserve"> eligible to donate blood; however, less than 5% of the population donate on a regular basis (Wu, 2001). The return rates for first-time blood donors are slightly higher, with 8% of first-time donors becoming regular blood donors (Gillespie, 2002). </w:t>
      </w:r>
    </w:p>
    <w:p w14:paraId="4E63B5A8" w14:textId="77777777" w:rsidR="008E3600" w:rsidRDefault="00BA2544">
      <w:pPr>
        <w:pStyle w:val="BodyB"/>
        <w:suppressAutoHyphens/>
        <w:spacing w:line="480" w:lineRule="auto"/>
        <w:ind w:firstLine="360"/>
      </w:pPr>
      <w:r>
        <w:t xml:space="preserve">The coverage </w:t>
      </w:r>
      <w:proofErr w:type="gramStart"/>
      <w:r>
        <w:t>area</w:t>
      </w:r>
      <w:proofErr w:type="gramEnd"/>
      <w:r>
        <w:t xml:space="preserve"> of Blood Assurance is </w:t>
      </w:r>
      <w:proofErr w:type="gramStart"/>
      <w:r>
        <w:t>around 1.7 million people including the metropolitan areas of Chattanooga (528,143), Tullahoma (99,927), Cookeville (104,366) and Johnson City (506,538) in Tennessee as well as Cartersville (100,157), Rome (96,317) and Dalton (142,317) in Georgia</w:t>
      </w:r>
      <w:proofErr w:type="gramEnd"/>
      <w:r>
        <w:t>.</w:t>
      </w:r>
      <w:r>
        <w:rPr>
          <w:vertAlign w:val="superscript"/>
        </w:rPr>
        <w:footnoteReference w:id="6"/>
      </w:r>
      <w:r>
        <w:t xml:space="preserve"> In 2012 55,204 people donated at Blood Assurance, increasing to 58,565 in 2013, 62,643 in 2014 and 61,745 as of December 21, 2015.</w:t>
      </w:r>
      <w:r>
        <w:rPr>
          <w:vertAlign w:val="superscript"/>
        </w:rPr>
        <w:footnoteReference w:id="7"/>
      </w:r>
      <w:r>
        <w:t xml:space="preserve"> When looking at the 62,643 divided by the 1.7 million in the area, we can estimate that only 3.6% of the population donated in 2014. This is lower than the 5% mentioned as a natural average. It should be noted that Blood Assurance has been expanding its coverage area in recent years. Blood Assurance is providing for hospitals in areas where the donor base is still in the early stages. There are some markets that are served by Blood Assurance that are serviced by other blood banks.</w:t>
      </w:r>
    </w:p>
    <w:p w14:paraId="623CC03A" w14:textId="77777777" w:rsidR="008E3600" w:rsidRDefault="00BA2544">
      <w:pPr>
        <w:pStyle w:val="BodyB"/>
        <w:suppressAutoHyphens/>
        <w:spacing w:line="480" w:lineRule="auto"/>
        <w:ind w:firstLine="360"/>
      </w:pPr>
      <w:r>
        <w:t xml:space="preserve">The first year of a new donor is considered a critical time in the long-term donor relationship. Generally speaking, the sooner a donor returns, the more likely they are to continue returning. </w:t>
      </w:r>
      <w:r>
        <w:lastRenderedPageBreak/>
        <w:t xml:space="preserve">Most first-time donors will not return for another donation. A study published in the February 2005 </w:t>
      </w:r>
      <w:proofErr w:type="spellStart"/>
      <w:r>
        <w:rPr>
          <w:i/>
          <w:iCs/>
        </w:rPr>
        <w:t>Vox</w:t>
      </w:r>
      <w:proofErr w:type="spellEnd"/>
      <w:r>
        <w:rPr>
          <w:i/>
          <w:iCs/>
        </w:rPr>
        <w:t xml:space="preserve"> </w:t>
      </w:r>
      <w:proofErr w:type="spellStart"/>
      <w:r>
        <w:rPr>
          <w:i/>
          <w:iCs/>
        </w:rPr>
        <w:t>Sanguinis</w:t>
      </w:r>
      <w:proofErr w:type="spellEnd"/>
      <w:r>
        <w:t xml:space="preserve"> showed that of the almost 179,409 donors tracked from 1991-1996, 68% only donated 1 time, 21.4% donated 2 times, 7.2% gave 3 times, 2.3% donated 4 times and 1% donated 5 times or more. However, the more a donor returns in the first year, the more likely they are to become regular donors. Of donors with 1 donation in the first year, 4% were likely to become regular donors, 2 donations were 11%, 3 were 21%, 4 were 32%, and 5 or more were 42% likely to be regular donors (Schreiber, 2005).  </w:t>
      </w:r>
    </w:p>
    <w:p w14:paraId="4FA754E0" w14:textId="77777777" w:rsidR="008E3600" w:rsidRDefault="00BA2544">
      <w:pPr>
        <w:pStyle w:val="BodyB"/>
        <w:suppressAutoHyphens/>
        <w:spacing w:line="480" w:lineRule="auto"/>
        <w:ind w:firstLine="360"/>
      </w:pPr>
      <w:proofErr w:type="spellStart"/>
      <w:r>
        <w:rPr>
          <w:lang w:val="pt-PT"/>
        </w:rPr>
        <w:t>Lourenç</w:t>
      </w:r>
      <w:proofErr w:type="spellEnd"/>
      <w:r>
        <w:t xml:space="preserve">on et. </w:t>
      </w:r>
      <w:proofErr w:type="gramStart"/>
      <w:r>
        <w:t>al</w:t>
      </w:r>
      <w:proofErr w:type="gramEnd"/>
      <w:r>
        <w:t>. found different results from the US. In Brazil, only 30% of first-time blood donors will never return. However, like in other parts of the world, the longer a donor takes to return to donate, the chance of return diminishes. 40% of first-time donors in Brazil will return in the first year and only 53% will return in the first two years. In the US 32% of first-time donors will return in the first year and 20.5% will return in the first six months. The probability of return diminishes each month. This highlights the need to effectively communicate with these donors (</w:t>
      </w:r>
      <w:proofErr w:type="spellStart"/>
      <w:r>
        <w:rPr>
          <w:lang w:val="pt-PT"/>
        </w:rPr>
        <w:t>Lourenç</w:t>
      </w:r>
      <w:proofErr w:type="spellEnd"/>
      <w:r>
        <w:t xml:space="preserve">on, 2011).   </w:t>
      </w:r>
    </w:p>
    <w:p w14:paraId="616FED1D" w14:textId="77777777" w:rsidR="008E3600" w:rsidRDefault="00BA2544">
      <w:pPr>
        <w:pStyle w:val="BodyB"/>
        <w:suppressAutoHyphens/>
        <w:spacing w:line="480" w:lineRule="auto"/>
        <w:ind w:firstLine="360"/>
      </w:pPr>
      <w:r>
        <w:t xml:space="preserve">In 2012, Blood Assurance saw 55,204 whole blood donors. Of these, 18,040 (32.67%) were first-time blood donors. So far 8,187 (45.38%) have returned to donate again. </w:t>
      </w:r>
      <w:r w:rsidR="006111CA">
        <w:t xml:space="preserve">In the first year, </w:t>
      </w:r>
      <w:r>
        <w:t>6,143 (34.05%), 1,417 (7.85%) returned by the second year, 492 (2.73%) by the third year and 135 (.75%) by the fourth year.</w:t>
      </w:r>
    </w:p>
    <w:p w14:paraId="1DE86647" w14:textId="77777777" w:rsidR="008E3600" w:rsidRDefault="00BA2544">
      <w:pPr>
        <w:pStyle w:val="BodyB"/>
        <w:suppressAutoHyphens/>
        <w:spacing w:line="480" w:lineRule="auto"/>
        <w:ind w:firstLine="360"/>
      </w:pPr>
      <w:r>
        <w:t xml:space="preserve">The chart below shows the rate of return by first time blood donors. Most (75%) of our return donors will do so in the first year. The chance of return drops each year (17% by the second year, 6% by the third year, and only 2% by the fourth year).  </w:t>
      </w:r>
    </w:p>
    <w:p w14:paraId="77A8651E" w14:textId="77777777" w:rsidR="00BA2544" w:rsidRDefault="00BA2544">
      <w:pPr>
        <w:rPr>
          <w:rFonts w:cs="Arial Unicode MS"/>
          <w:color w:val="000000"/>
          <w:u w:color="000000"/>
        </w:rPr>
      </w:pPr>
      <w:r>
        <w:br w:type="page"/>
      </w:r>
    </w:p>
    <w:p w14:paraId="123C1A00" w14:textId="77777777" w:rsidR="008E3600" w:rsidRDefault="00BA2544">
      <w:pPr>
        <w:pStyle w:val="BodyB"/>
        <w:suppressAutoHyphens/>
        <w:spacing w:line="480" w:lineRule="auto"/>
        <w:ind w:firstLine="360"/>
      </w:pPr>
      <w:r>
        <w:rPr>
          <w:noProof/>
        </w:rPr>
        <w:lastRenderedPageBreak/>
        <w:drawing>
          <wp:anchor distT="152400" distB="152400" distL="152400" distR="152400" simplePos="0" relativeHeight="251659264" behindDoc="0" locked="0" layoutInCell="1" allowOverlap="1" wp14:anchorId="2E312D92" wp14:editId="2FADFF59">
            <wp:simplePos x="0" y="0"/>
            <wp:positionH relativeFrom="page">
              <wp:posOffset>914400</wp:posOffset>
            </wp:positionH>
            <wp:positionV relativeFrom="page">
              <wp:posOffset>1028700</wp:posOffset>
            </wp:positionV>
            <wp:extent cx="5943600" cy="3136265"/>
            <wp:effectExtent l="0" t="0" r="0" b="0"/>
            <wp:wrapTopAndBottom distT="152400" distB="15240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Screen Shot 2015-12-16 at 11.17.23 PM.png"/>
                    <pic:cNvPicPr>
                      <a:picLocks noChangeAspect="1"/>
                    </pic:cNvPicPr>
                  </pic:nvPicPr>
                  <pic:blipFill>
                    <a:blip r:embed="rId8">
                      <a:extLst/>
                    </a:blip>
                    <a:stretch>
                      <a:fillRect/>
                    </a:stretch>
                  </pic:blipFill>
                  <pic:spPr>
                    <a:xfrm>
                      <a:off x="0" y="0"/>
                      <a:ext cx="5943600" cy="3136265"/>
                    </a:xfrm>
                    <a:prstGeom prst="rect">
                      <a:avLst/>
                    </a:prstGeom>
                    <a:ln w="12700" cap="flat">
                      <a:noFill/>
                      <a:miter lim="400000"/>
                    </a:ln>
                    <a:effectLst/>
                  </pic:spPr>
                </pic:pic>
              </a:graphicData>
            </a:graphic>
          </wp:anchor>
        </w:drawing>
      </w:r>
      <w:r>
        <w:t xml:space="preserve">There are several factors that may keep donors from returning after their first donation. The donor may have a medical issue that defers their blood from being used in transfusions. The donor may have a negative physical experience while donating. Likewise, a bad customer service experience may also keep donors from returning (Schreiber, 2006). </w:t>
      </w:r>
    </w:p>
    <w:p w14:paraId="26BE2D45" w14:textId="77777777" w:rsidR="008E3600" w:rsidRDefault="00BA2544">
      <w:pPr>
        <w:pStyle w:val="BodyB"/>
        <w:suppressAutoHyphens/>
        <w:spacing w:line="480" w:lineRule="auto"/>
        <w:ind w:firstLine="360"/>
      </w:pPr>
      <w:r>
        <w:t xml:space="preserve">On the positive, </w:t>
      </w:r>
      <w:proofErr w:type="spellStart"/>
      <w:r>
        <w:rPr>
          <w:lang w:val="pt-PT"/>
        </w:rPr>
        <w:t>Lourenç</w:t>
      </w:r>
      <w:proofErr w:type="spellEnd"/>
      <w:r>
        <w:t xml:space="preserve">on </w:t>
      </w:r>
      <w:proofErr w:type="gramStart"/>
      <w:r>
        <w:t>et</w:t>
      </w:r>
      <w:proofErr w:type="gramEnd"/>
      <w:r>
        <w:t xml:space="preserve">. </w:t>
      </w:r>
      <w:proofErr w:type="gramStart"/>
      <w:r>
        <w:t>al</w:t>
      </w:r>
      <w:proofErr w:type="gramEnd"/>
      <w:r>
        <w:t>. noted that effective marketing was probably a factor in getting donors to return after 4, 12, and 24 months (</w:t>
      </w:r>
      <w:proofErr w:type="spellStart"/>
      <w:r>
        <w:rPr>
          <w:lang w:val="pt-PT"/>
        </w:rPr>
        <w:t>Lourenç</w:t>
      </w:r>
      <w:proofErr w:type="spellEnd"/>
      <w:r>
        <w:t>on, 2011). Keeping a healthy supply of blood donors is like using a water bucket with a whole in the bottom. Most of what you pour in it will go right through the system. Great efforts are needed to draw in new donors (literal fresh blood). Donors who are willing to return need to be given the best communication and care practices. Losing a donor because of medical issues is unavoidable. Losing a donor because of poor marketing and donor service is avoidable.</w:t>
      </w:r>
    </w:p>
    <w:p w14:paraId="68DB7D8A" w14:textId="77777777" w:rsidR="008E3600" w:rsidRDefault="00BA2544">
      <w:pPr>
        <w:pStyle w:val="Default"/>
        <w:suppressAutoHyphens/>
        <w:spacing w:line="480" w:lineRule="auto"/>
        <w:ind w:firstLine="360"/>
        <w:rPr>
          <w:rFonts w:ascii="Times New Roman" w:eastAsia="Times New Roman" w:hAnsi="Times New Roman" w:cs="Times New Roman"/>
          <w:sz w:val="24"/>
          <w:szCs w:val="24"/>
        </w:rPr>
      </w:pPr>
      <w:r>
        <w:rPr>
          <w:rFonts w:ascii="Times New Roman" w:hAnsi="Times New Roman"/>
          <w:sz w:val="24"/>
          <w:szCs w:val="24"/>
        </w:rPr>
        <w:t xml:space="preserve">An article in the June 2012 </w:t>
      </w:r>
      <w:r>
        <w:rPr>
          <w:rFonts w:ascii="Times New Roman" w:hAnsi="Times New Roman"/>
          <w:i/>
          <w:iCs/>
          <w:sz w:val="24"/>
          <w:szCs w:val="24"/>
        </w:rPr>
        <w:t>Transfusion</w:t>
      </w:r>
      <w:r>
        <w:rPr>
          <w:rFonts w:ascii="Times New Roman" w:hAnsi="Times New Roman"/>
          <w:sz w:val="24"/>
          <w:szCs w:val="24"/>
        </w:rPr>
        <w:t xml:space="preserve"> by Barbara M. </w:t>
      </w:r>
      <w:proofErr w:type="spellStart"/>
      <w:r>
        <w:rPr>
          <w:rFonts w:ascii="Times New Roman" w:hAnsi="Times New Roman"/>
          <w:sz w:val="24"/>
          <w:szCs w:val="24"/>
        </w:rPr>
        <w:t>Masser</w:t>
      </w:r>
      <w:proofErr w:type="spellEnd"/>
      <w:r>
        <w:rPr>
          <w:rFonts w:ascii="Times New Roman" w:hAnsi="Times New Roman"/>
          <w:sz w:val="24"/>
          <w:szCs w:val="24"/>
        </w:rPr>
        <w:t xml:space="preserve">, Timothy C. </w:t>
      </w:r>
      <w:proofErr w:type="spellStart"/>
      <w:r>
        <w:rPr>
          <w:rFonts w:ascii="Times New Roman" w:hAnsi="Times New Roman"/>
          <w:sz w:val="24"/>
          <w:szCs w:val="24"/>
        </w:rPr>
        <w:t>Bednall</w:t>
      </w:r>
      <w:proofErr w:type="spellEnd"/>
      <w:r>
        <w:rPr>
          <w:rFonts w:ascii="Times New Roman" w:hAnsi="Times New Roman"/>
          <w:sz w:val="24"/>
          <w:szCs w:val="24"/>
        </w:rPr>
        <w:t xml:space="preserve">, Katherine M. White, and Deborah Terry examined the return of first-time donors by using </w:t>
      </w:r>
      <w:proofErr w:type="spellStart"/>
      <w:r>
        <w:rPr>
          <w:rFonts w:ascii="Times New Roman" w:hAnsi="Times New Roman"/>
          <w:sz w:val="24"/>
          <w:szCs w:val="24"/>
        </w:rPr>
        <w:t>Icek</w:t>
      </w:r>
      <w:proofErr w:type="spellEnd"/>
      <w:r>
        <w:rPr>
          <w:rFonts w:ascii="Times New Roman" w:hAnsi="Times New Roman"/>
          <w:sz w:val="24"/>
          <w:szCs w:val="24"/>
        </w:rPr>
        <w:t xml:space="preserve"> </w:t>
      </w:r>
      <w:proofErr w:type="spellStart"/>
      <w:r>
        <w:rPr>
          <w:rFonts w:ascii="Times New Roman" w:hAnsi="Times New Roman"/>
          <w:sz w:val="24"/>
          <w:szCs w:val="24"/>
        </w:rPr>
        <w:t>Ajzen’s</w:t>
      </w:r>
      <w:proofErr w:type="spellEnd"/>
      <w:r>
        <w:rPr>
          <w:rFonts w:ascii="Times New Roman" w:hAnsi="Times New Roman"/>
          <w:sz w:val="24"/>
          <w:szCs w:val="24"/>
        </w:rPr>
        <w:t xml:space="preserve"> Theory of Planned Behavior. The decision to donat</w:t>
      </w:r>
      <w:r w:rsidR="00F26E29">
        <w:rPr>
          <w:rFonts w:ascii="Times New Roman" w:hAnsi="Times New Roman"/>
          <w:sz w:val="24"/>
          <w:szCs w:val="24"/>
        </w:rPr>
        <w:t>e</w:t>
      </w:r>
      <w:r>
        <w:rPr>
          <w:rFonts w:ascii="Times New Roman" w:hAnsi="Times New Roman"/>
          <w:sz w:val="24"/>
          <w:szCs w:val="24"/>
        </w:rPr>
        <w:t xml:space="preserve"> blood is a volitional behavior. </w:t>
      </w:r>
      <w:proofErr w:type="spellStart"/>
      <w:r>
        <w:rPr>
          <w:rFonts w:ascii="Times New Roman" w:hAnsi="Times New Roman"/>
          <w:sz w:val="24"/>
          <w:szCs w:val="24"/>
        </w:rPr>
        <w:lastRenderedPageBreak/>
        <w:t>Ajzen</w:t>
      </w:r>
      <w:proofErr w:type="spellEnd"/>
      <w:r>
        <w:rPr>
          <w:rFonts w:ascii="Times New Roman" w:hAnsi="Times New Roman"/>
          <w:sz w:val="24"/>
          <w:szCs w:val="24"/>
        </w:rPr>
        <w:t xml:space="preserve"> proposed that the Theory of Planned Behavior </w:t>
      </w:r>
      <w:proofErr w:type="gramStart"/>
      <w:r>
        <w:rPr>
          <w:rFonts w:ascii="Times New Roman" w:hAnsi="Times New Roman"/>
          <w:sz w:val="24"/>
          <w:szCs w:val="24"/>
        </w:rPr>
        <w:t>can</w:t>
      </w:r>
      <w:proofErr w:type="gramEnd"/>
      <w:r>
        <w:rPr>
          <w:rFonts w:ascii="Times New Roman" w:hAnsi="Times New Roman"/>
          <w:sz w:val="24"/>
          <w:szCs w:val="24"/>
        </w:rPr>
        <w:t xml:space="preserve"> be applied to predict volitional behaviors and understand the psychological determinants of that decision (</w:t>
      </w:r>
      <w:proofErr w:type="spellStart"/>
      <w:r>
        <w:rPr>
          <w:rFonts w:ascii="Times New Roman" w:hAnsi="Times New Roman"/>
          <w:sz w:val="24"/>
          <w:szCs w:val="24"/>
        </w:rPr>
        <w:t>Ajzen</w:t>
      </w:r>
      <w:proofErr w:type="spellEnd"/>
      <w:r>
        <w:rPr>
          <w:rFonts w:ascii="Times New Roman" w:hAnsi="Times New Roman"/>
          <w:sz w:val="24"/>
          <w:szCs w:val="24"/>
        </w:rPr>
        <w:t xml:space="preserve">, 1991). In this model, intention serves as the behavioral control to the principal determination of a given behavior (in this case the behavior to be a regular blood donor). There are three factors that influence this intention: behavior beliefs, normative beliefs, and control beliefs. Behavior beliefs are based on the attitude that the donor has on the behavior. When a donor has a positive or negative view of blood donation, this will impact the likelihood of return. If they see the value of the process then they are more likely to return than those who see little benefit to donating blood. Normative beliefs are subjective norms. These beliefs are impacted by the donor’s environment or culture. </w:t>
      </w:r>
      <w:r w:rsidR="006111CA">
        <w:rPr>
          <w:rFonts w:ascii="Times New Roman" w:hAnsi="Times New Roman"/>
          <w:sz w:val="24"/>
          <w:szCs w:val="24"/>
        </w:rPr>
        <w:t>If donating blood is considered</w:t>
      </w:r>
      <w:r>
        <w:rPr>
          <w:rFonts w:ascii="Times New Roman" w:hAnsi="Times New Roman"/>
          <w:sz w:val="24"/>
          <w:szCs w:val="24"/>
        </w:rPr>
        <w:t xml:space="preserve"> to be important in their peer group, a return donation is more favorable. Control beliefs deal with perceived behavioral control or the donor’s perception of how much they are in control of the decision to donate blood. It is important for the donor to know that they can handle the situation. There is a lot of anxiety with many blood donors. Once they know they can manage the situation, they are more likely to return (</w:t>
      </w:r>
      <w:proofErr w:type="spellStart"/>
      <w:r>
        <w:rPr>
          <w:rFonts w:ascii="Times New Roman" w:hAnsi="Times New Roman"/>
          <w:sz w:val="24"/>
          <w:szCs w:val="24"/>
        </w:rPr>
        <w:t>Masser</w:t>
      </w:r>
      <w:proofErr w:type="spellEnd"/>
      <w:r>
        <w:rPr>
          <w:rFonts w:ascii="Times New Roman" w:hAnsi="Times New Roman"/>
          <w:sz w:val="24"/>
          <w:szCs w:val="24"/>
        </w:rPr>
        <w:t>, 2012).</w:t>
      </w:r>
    </w:p>
    <w:p w14:paraId="476C104B" w14:textId="77777777" w:rsidR="008E3600" w:rsidRDefault="00BA2544">
      <w:pPr>
        <w:pStyle w:val="Default"/>
        <w:suppressAutoHyphens/>
        <w:spacing w:line="480" w:lineRule="auto"/>
        <w:ind w:firstLine="360"/>
        <w:rPr>
          <w:rFonts w:ascii="Times New Roman" w:eastAsia="Times New Roman" w:hAnsi="Times New Roman" w:cs="Times New Roman"/>
          <w:sz w:val="24"/>
          <w:szCs w:val="24"/>
        </w:rPr>
      </w:pPr>
      <w:r>
        <w:rPr>
          <w:rFonts w:ascii="Times New Roman" w:hAnsi="Times New Roman"/>
          <w:sz w:val="24"/>
          <w:szCs w:val="24"/>
        </w:rPr>
        <w:t xml:space="preserve">The more often a blood donor returns, the more these beliefs are strengthened. </w:t>
      </w:r>
      <w:proofErr w:type="spellStart"/>
      <w:r>
        <w:rPr>
          <w:rFonts w:ascii="Times New Roman" w:hAnsi="Times New Roman"/>
          <w:sz w:val="24"/>
          <w:szCs w:val="24"/>
        </w:rPr>
        <w:t>Masser</w:t>
      </w:r>
      <w:proofErr w:type="spellEnd"/>
      <w:r>
        <w:rPr>
          <w:rFonts w:ascii="Times New Roman" w:hAnsi="Times New Roman"/>
          <w:sz w:val="24"/>
          <w:szCs w:val="24"/>
        </w:rPr>
        <w:t xml:space="preserve"> </w:t>
      </w:r>
      <w:proofErr w:type="gramStart"/>
      <w:r>
        <w:rPr>
          <w:rFonts w:ascii="Times New Roman" w:hAnsi="Times New Roman"/>
          <w:sz w:val="24"/>
          <w:szCs w:val="24"/>
        </w:rPr>
        <w:t>et</w:t>
      </w:r>
      <w:proofErr w:type="gramEnd"/>
      <w:r>
        <w:rPr>
          <w:rFonts w:ascii="Times New Roman" w:hAnsi="Times New Roman"/>
          <w:sz w:val="24"/>
          <w:szCs w:val="24"/>
        </w:rPr>
        <w:t xml:space="preserve">. </w:t>
      </w:r>
      <w:proofErr w:type="gramStart"/>
      <w:r>
        <w:rPr>
          <w:rFonts w:ascii="Times New Roman" w:hAnsi="Times New Roman"/>
          <w:sz w:val="24"/>
          <w:szCs w:val="24"/>
        </w:rPr>
        <w:t>al</w:t>
      </w:r>
      <w:proofErr w:type="gramEnd"/>
      <w:r>
        <w:rPr>
          <w:rFonts w:ascii="Times New Roman" w:hAnsi="Times New Roman"/>
          <w:sz w:val="24"/>
          <w:szCs w:val="24"/>
        </w:rPr>
        <w:t>. noted that another key factor to a donor going from a belief to an intention and to a behavior is self-identification. They consider the moment when a donor views him/herself a blood donor an important milestone. If they see themselves as a blood donor, they are more likely to be a regular blood donor (</w:t>
      </w:r>
      <w:proofErr w:type="spellStart"/>
      <w:r>
        <w:rPr>
          <w:rFonts w:ascii="Times New Roman" w:hAnsi="Times New Roman"/>
          <w:sz w:val="24"/>
          <w:szCs w:val="24"/>
        </w:rPr>
        <w:t>Masser</w:t>
      </w:r>
      <w:proofErr w:type="spellEnd"/>
      <w:r>
        <w:rPr>
          <w:rFonts w:ascii="Times New Roman" w:hAnsi="Times New Roman"/>
          <w:sz w:val="24"/>
          <w:szCs w:val="24"/>
        </w:rPr>
        <w:t>, 2012).</w:t>
      </w:r>
    </w:p>
    <w:p w14:paraId="17B9DC13" w14:textId="77777777" w:rsidR="008E3600" w:rsidRDefault="00BA2544">
      <w:pPr>
        <w:pStyle w:val="Default"/>
        <w:suppressAutoHyphens/>
        <w:spacing w:line="480" w:lineRule="auto"/>
        <w:ind w:firstLine="360"/>
        <w:rPr>
          <w:rFonts w:ascii="Times New Roman" w:eastAsia="Times New Roman" w:hAnsi="Times New Roman" w:cs="Times New Roman"/>
          <w:sz w:val="24"/>
          <w:szCs w:val="24"/>
        </w:rPr>
      </w:pPr>
      <w:r>
        <w:rPr>
          <w:rFonts w:ascii="Times New Roman" w:hAnsi="Times New Roman"/>
          <w:sz w:val="24"/>
          <w:szCs w:val="24"/>
        </w:rPr>
        <w:t xml:space="preserve">In Queensland, Australia, 256 residents completed a survey 3 weeks after their first donation as well as 4 months after the first donation. The strongest predictor of return donations after the first 3 weeks was behavior intention. The donor who already intends to return to donate is more </w:t>
      </w:r>
      <w:r>
        <w:rPr>
          <w:rFonts w:ascii="Times New Roman" w:hAnsi="Times New Roman"/>
          <w:sz w:val="24"/>
          <w:szCs w:val="24"/>
        </w:rPr>
        <w:lastRenderedPageBreak/>
        <w:t xml:space="preserve">likely to return. Self identity, normative beliefs, and behavior beliefs were seen as important factors in predicting a return donation after 3 weeks. The results after 4 months were similar; however, the role of control beliefs increased in the effectiveness of prediction. Self-identification also was a strong determining factor for return donors at 4 months. Soon after their donation, the donor established their intention to donate. There are attitudes that can impact this intention. The more they donate, the more they know they can handle the donation. The more the donor returns, the less normative beliefs factor into the decision to return. With self-identification, the return donations become more of something that they do, rather than something that they “think” about doing. For most donors, somewhere between their 3rd to 5th </w:t>
      </w:r>
      <w:proofErr w:type="gramStart"/>
      <w:r>
        <w:rPr>
          <w:rFonts w:ascii="Times New Roman" w:hAnsi="Times New Roman"/>
          <w:sz w:val="24"/>
          <w:szCs w:val="24"/>
        </w:rPr>
        <w:t>donation</w:t>
      </w:r>
      <w:proofErr w:type="gramEnd"/>
      <w:r>
        <w:rPr>
          <w:rFonts w:ascii="Times New Roman" w:hAnsi="Times New Roman"/>
          <w:sz w:val="24"/>
          <w:szCs w:val="24"/>
        </w:rPr>
        <w:t>, the pattern is established of being a regular blood donor. Like the grooves on vinyl record, the donor is more likely to find a regular pattern for donating blood (</w:t>
      </w:r>
      <w:proofErr w:type="spellStart"/>
      <w:r>
        <w:rPr>
          <w:rFonts w:ascii="Times New Roman" w:hAnsi="Times New Roman"/>
          <w:sz w:val="24"/>
          <w:szCs w:val="24"/>
        </w:rPr>
        <w:t>Masser</w:t>
      </w:r>
      <w:proofErr w:type="spellEnd"/>
      <w:r>
        <w:rPr>
          <w:rFonts w:ascii="Times New Roman" w:hAnsi="Times New Roman"/>
          <w:sz w:val="24"/>
          <w:szCs w:val="24"/>
        </w:rPr>
        <w:t>, 2012).</w:t>
      </w:r>
    </w:p>
    <w:p w14:paraId="503C7BAD" w14:textId="77777777" w:rsidR="008E3600" w:rsidRDefault="00BA2544">
      <w:pPr>
        <w:pStyle w:val="Default"/>
        <w:suppressAutoHyphens/>
        <w:spacing w:line="480" w:lineRule="auto"/>
        <w:ind w:firstLine="360"/>
        <w:rPr>
          <w:rFonts w:ascii="Times New Roman" w:eastAsia="Times New Roman" w:hAnsi="Times New Roman" w:cs="Times New Roman"/>
          <w:sz w:val="24"/>
          <w:szCs w:val="24"/>
        </w:rPr>
      </w:pPr>
      <w:r>
        <w:rPr>
          <w:rFonts w:ascii="Times New Roman" w:hAnsi="Times New Roman"/>
          <w:sz w:val="24"/>
          <w:szCs w:val="24"/>
        </w:rPr>
        <w:t xml:space="preserve">Motivations for donating blood can vary with each donor. Some may donate because they personally know someone who needs or needed a blood transfusion. Some donate because they want to give back to their community, and donating blood is a way to achieve that. Some give for less altruistic reasons. Some students have confessed to donating blood to get out of class (usually gym). Others gave because of social pressure or to have their blood tested without having to go to the doctor. Because of these varying motivations, it is important for blood banks to continue to reach out to their donor base for return blood donations (Almeida </w:t>
      </w:r>
      <w:proofErr w:type="spellStart"/>
      <w:r>
        <w:rPr>
          <w:rFonts w:ascii="Times New Roman" w:hAnsi="Times New Roman"/>
          <w:sz w:val="24"/>
          <w:szCs w:val="24"/>
        </w:rPr>
        <w:t>Neto</w:t>
      </w:r>
      <w:proofErr w:type="spellEnd"/>
      <w:r>
        <w:rPr>
          <w:rFonts w:ascii="Times New Roman" w:hAnsi="Times New Roman"/>
          <w:sz w:val="24"/>
          <w:szCs w:val="24"/>
        </w:rPr>
        <w:t>, 2011).</w:t>
      </w:r>
    </w:p>
    <w:p w14:paraId="3B616D38" w14:textId="77777777" w:rsidR="008E3600" w:rsidRDefault="00BA2544">
      <w:pPr>
        <w:pStyle w:val="Default"/>
        <w:suppressAutoHyphens/>
        <w:spacing w:line="480" w:lineRule="auto"/>
        <w:ind w:firstLine="360"/>
        <w:rPr>
          <w:rFonts w:ascii="Times New Roman" w:eastAsia="Times New Roman" w:hAnsi="Times New Roman" w:cs="Times New Roman"/>
          <w:sz w:val="24"/>
          <w:szCs w:val="24"/>
        </w:rPr>
      </w:pPr>
      <w:r>
        <w:rPr>
          <w:rFonts w:ascii="Times New Roman" w:hAnsi="Times New Roman"/>
          <w:sz w:val="24"/>
          <w:szCs w:val="24"/>
        </w:rPr>
        <w:t xml:space="preserve">Marketing for return blood donations has improved in the digital age. It has never been easy to persuade people to donate blood. Before the advent of e-mail, many blood centers and blood drives had to rely on printed brochures and flyers to promote blood donation and educate people about their blood donation eligibility. A 1994 study published in </w:t>
      </w:r>
      <w:r>
        <w:rPr>
          <w:rFonts w:ascii="Times New Roman" w:hAnsi="Times New Roman"/>
          <w:i/>
          <w:iCs/>
          <w:sz w:val="24"/>
          <w:szCs w:val="24"/>
        </w:rPr>
        <w:t>Transfusion</w:t>
      </w:r>
      <w:r>
        <w:rPr>
          <w:rFonts w:ascii="Times New Roman" w:hAnsi="Times New Roman"/>
          <w:sz w:val="24"/>
          <w:szCs w:val="24"/>
        </w:rPr>
        <w:t xml:space="preserve"> by J. G. </w:t>
      </w:r>
      <w:proofErr w:type="spellStart"/>
      <w:r>
        <w:rPr>
          <w:rFonts w:ascii="Times New Roman" w:hAnsi="Times New Roman"/>
          <w:sz w:val="24"/>
          <w:szCs w:val="24"/>
        </w:rPr>
        <w:t>Gimble</w:t>
      </w:r>
      <w:proofErr w:type="spellEnd"/>
      <w:r>
        <w:rPr>
          <w:rFonts w:ascii="Times New Roman" w:hAnsi="Times New Roman"/>
          <w:sz w:val="24"/>
          <w:szCs w:val="24"/>
        </w:rPr>
        <w:t xml:space="preserve">, L. Kline, N. </w:t>
      </w:r>
      <w:proofErr w:type="spellStart"/>
      <w:r>
        <w:rPr>
          <w:rFonts w:ascii="Times New Roman" w:hAnsi="Times New Roman"/>
          <w:sz w:val="24"/>
          <w:szCs w:val="24"/>
        </w:rPr>
        <w:t>Makris</w:t>
      </w:r>
      <w:proofErr w:type="spellEnd"/>
      <w:r>
        <w:rPr>
          <w:rFonts w:ascii="Times New Roman" w:hAnsi="Times New Roman"/>
          <w:sz w:val="24"/>
          <w:szCs w:val="24"/>
        </w:rPr>
        <w:t xml:space="preserve">, L. R. </w:t>
      </w:r>
      <w:proofErr w:type="spellStart"/>
      <w:r>
        <w:rPr>
          <w:rFonts w:ascii="Times New Roman" w:hAnsi="Times New Roman"/>
          <w:sz w:val="24"/>
          <w:szCs w:val="24"/>
        </w:rPr>
        <w:t>Munez</w:t>
      </w:r>
      <w:proofErr w:type="spellEnd"/>
      <w:r>
        <w:rPr>
          <w:rFonts w:ascii="Times New Roman" w:hAnsi="Times New Roman"/>
          <w:sz w:val="24"/>
          <w:szCs w:val="24"/>
        </w:rPr>
        <w:t xml:space="preserve">, and L. I. Friedman examined the effectiveness of new brochures </w:t>
      </w:r>
      <w:r>
        <w:rPr>
          <w:rFonts w:ascii="Times New Roman" w:hAnsi="Times New Roman"/>
          <w:sz w:val="24"/>
          <w:szCs w:val="24"/>
        </w:rPr>
        <w:lastRenderedPageBreak/>
        <w:t>for the recruitment and retention of blood donors. They had very little impact on drawing in new blood donors. They were moderately effective in getting previous blood donors. The exceptions were personal appeals after disasters, accidents or needs of a specific person (</w:t>
      </w:r>
      <w:proofErr w:type="spellStart"/>
      <w:r>
        <w:rPr>
          <w:rFonts w:ascii="Times New Roman" w:hAnsi="Times New Roman"/>
          <w:sz w:val="24"/>
          <w:szCs w:val="24"/>
        </w:rPr>
        <w:t>Gimble</w:t>
      </w:r>
      <w:proofErr w:type="spellEnd"/>
      <w:r>
        <w:rPr>
          <w:rFonts w:ascii="Times New Roman" w:hAnsi="Times New Roman"/>
          <w:sz w:val="24"/>
          <w:szCs w:val="24"/>
        </w:rPr>
        <w:t xml:space="preserve">, 1994).  </w:t>
      </w:r>
    </w:p>
    <w:p w14:paraId="23A7E13A" w14:textId="77777777" w:rsidR="008E3600" w:rsidRDefault="00BA2544">
      <w:pPr>
        <w:pStyle w:val="BodyA"/>
        <w:suppressAutoHyphens/>
        <w:spacing w:line="480" w:lineRule="auto"/>
        <w:ind w:firstLine="360"/>
        <w:rPr>
          <w:rFonts w:ascii="Times New Roman" w:eastAsia="Times New Roman" w:hAnsi="Times New Roman" w:cs="Times New Roman"/>
          <w:sz w:val="24"/>
          <w:szCs w:val="24"/>
        </w:rPr>
      </w:pPr>
      <w:r>
        <w:rPr>
          <w:rFonts w:ascii="Times New Roman" w:hAnsi="Times New Roman"/>
          <w:sz w:val="24"/>
          <w:szCs w:val="24"/>
        </w:rPr>
        <w:t xml:space="preserve">Maria Elena Geyer published an article on the role of e-mail in donor communication. She is currently the Executive Vice President of Marketing and Community Relation at </w:t>
      </w:r>
      <w:proofErr w:type="spellStart"/>
      <w:r>
        <w:rPr>
          <w:rFonts w:ascii="Times New Roman" w:hAnsi="Times New Roman"/>
          <w:sz w:val="24"/>
          <w:szCs w:val="24"/>
        </w:rPr>
        <w:t>Bloodworks</w:t>
      </w:r>
      <w:proofErr w:type="spellEnd"/>
      <w:r>
        <w:rPr>
          <w:rFonts w:ascii="Times New Roman" w:hAnsi="Times New Roman"/>
          <w:sz w:val="24"/>
          <w:szCs w:val="24"/>
        </w:rPr>
        <w:t xml:space="preserve"> Northwest (previously known as the Puget Sound Blood Center).</w:t>
      </w:r>
      <w:r>
        <w:rPr>
          <w:rFonts w:ascii="Times New Roman" w:eastAsia="Times New Roman" w:hAnsi="Times New Roman" w:cs="Times New Roman"/>
          <w:sz w:val="24"/>
          <w:szCs w:val="24"/>
          <w:vertAlign w:val="superscript"/>
        </w:rPr>
        <w:footnoteReference w:id="8"/>
      </w:r>
      <w:r>
        <w:rPr>
          <w:rFonts w:ascii="Times New Roman" w:hAnsi="Times New Roman"/>
          <w:sz w:val="24"/>
          <w:szCs w:val="24"/>
        </w:rPr>
        <w:t xml:space="preserve"> Her article “The Impact of E</w:t>
      </w:r>
      <w:r>
        <w:rPr>
          <w:rFonts w:ascii="Arial Unicode MS" w:eastAsia="Arial Unicode MS" w:hAnsi="Arial Unicode MS" w:cs="Arial Unicode MS"/>
          <w:sz w:val="24"/>
          <w:szCs w:val="24"/>
        </w:rPr>
        <w:t>‐</w:t>
      </w:r>
      <w:r>
        <w:rPr>
          <w:rFonts w:ascii="Times New Roman" w:hAnsi="Times New Roman"/>
          <w:sz w:val="24"/>
          <w:szCs w:val="24"/>
        </w:rPr>
        <w:t>mail in Acquiring and Retaining Whole</w:t>
      </w:r>
      <w:r>
        <w:rPr>
          <w:rFonts w:ascii="Arial Unicode MS" w:eastAsia="Arial Unicode MS" w:hAnsi="Arial Unicode MS" w:cs="Arial Unicode MS"/>
          <w:sz w:val="24"/>
          <w:szCs w:val="24"/>
        </w:rPr>
        <w:t>‐</w:t>
      </w:r>
      <w:r>
        <w:rPr>
          <w:rFonts w:ascii="Times New Roman" w:hAnsi="Times New Roman"/>
          <w:sz w:val="24"/>
          <w:szCs w:val="24"/>
        </w:rPr>
        <w:t>blood Donors: a Comparative Analysis of the Puget Sound Blood Center Donor E</w:t>
      </w:r>
      <w:r>
        <w:rPr>
          <w:rFonts w:ascii="Arial Unicode MS" w:eastAsia="Arial Unicode MS" w:hAnsi="Arial Unicode MS" w:cs="Arial Unicode MS"/>
          <w:sz w:val="24"/>
          <w:szCs w:val="24"/>
        </w:rPr>
        <w:t>‐</w:t>
      </w:r>
      <w:r>
        <w:rPr>
          <w:rFonts w:ascii="Times New Roman" w:hAnsi="Times New Roman"/>
          <w:sz w:val="24"/>
          <w:szCs w:val="24"/>
        </w:rPr>
        <w:t xml:space="preserve">mail Communication Program” was published in the December 2005 edition of </w:t>
      </w:r>
      <w:r>
        <w:rPr>
          <w:rFonts w:ascii="Times New Roman" w:hAnsi="Times New Roman"/>
          <w:i/>
          <w:iCs/>
          <w:sz w:val="24"/>
          <w:szCs w:val="24"/>
        </w:rPr>
        <w:t>Transfusion</w:t>
      </w:r>
      <w:r>
        <w:rPr>
          <w:rFonts w:ascii="Times New Roman" w:hAnsi="Times New Roman"/>
          <w:sz w:val="24"/>
          <w:szCs w:val="24"/>
        </w:rPr>
        <w:t xml:space="preserve">. Geyer highlighted the importance of e-mail as an effective tool of donor communication to encourage more frequent blood donation. Geyer viewed e-mail as one part of the overall marketing mix in donor communication. While she focused on 5 specific campaigns, she noted that all of their e-mails had two primary functions: raise awareness of the need for blood donation and convert that awareness into a donation. Because e-mail is less invasive, she saw it as effective in reaching new donor prospects through donor referrals. E-mails were used to amplify the reach of other marketing initiatives (Geyer, 2005). </w:t>
      </w:r>
    </w:p>
    <w:p w14:paraId="7A78266A" w14:textId="77777777" w:rsidR="008E3600" w:rsidRDefault="00BA2544">
      <w:pPr>
        <w:pStyle w:val="BodyA"/>
        <w:suppressAutoHyphens/>
        <w:spacing w:line="480" w:lineRule="auto"/>
        <w:ind w:firstLine="360"/>
        <w:rPr>
          <w:rFonts w:ascii="Times New Roman" w:eastAsia="Times New Roman" w:hAnsi="Times New Roman" w:cs="Times New Roman"/>
          <w:sz w:val="24"/>
          <w:szCs w:val="24"/>
        </w:rPr>
      </w:pPr>
      <w:r>
        <w:rPr>
          <w:rFonts w:ascii="Times New Roman" w:hAnsi="Times New Roman"/>
          <w:sz w:val="24"/>
          <w:szCs w:val="24"/>
        </w:rPr>
        <w:t xml:space="preserve">One example was an effective partnership with the Seattle Seahawks in 2002. She also noted the challenges of e-mail marketing. It is easier to ignore </w:t>
      </w:r>
      <w:proofErr w:type="gramStart"/>
      <w:r>
        <w:rPr>
          <w:rFonts w:ascii="Times New Roman" w:hAnsi="Times New Roman"/>
          <w:sz w:val="24"/>
          <w:szCs w:val="24"/>
        </w:rPr>
        <w:t>an e</w:t>
      </w:r>
      <w:proofErr w:type="gramEnd"/>
      <w:r>
        <w:rPr>
          <w:rFonts w:ascii="Times New Roman" w:hAnsi="Times New Roman"/>
          <w:sz w:val="24"/>
          <w:szCs w:val="24"/>
        </w:rPr>
        <w:t xml:space="preserve">-mail than other forms of donor communication. Much of her research was based on studies from the 90’s to the early 2000’s. At this time e-mail organization software made noticeable advances in filtering spam. Unfortunately, pleas for blood donations can lumped in with the other e-mails and </w:t>
      </w:r>
      <w:proofErr w:type="gramStart"/>
      <w:r>
        <w:rPr>
          <w:rFonts w:ascii="Times New Roman" w:hAnsi="Times New Roman"/>
          <w:sz w:val="24"/>
          <w:szCs w:val="24"/>
        </w:rPr>
        <w:t>be</w:t>
      </w:r>
      <w:proofErr w:type="gramEnd"/>
      <w:r>
        <w:rPr>
          <w:rFonts w:ascii="Times New Roman" w:hAnsi="Times New Roman"/>
          <w:sz w:val="24"/>
          <w:szCs w:val="24"/>
        </w:rPr>
        <w:t xml:space="preserve"> lost in the </w:t>
      </w:r>
      <w:r>
        <w:rPr>
          <w:rFonts w:ascii="Times New Roman" w:hAnsi="Times New Roman"/>
          <w:sz w:val="24"/>
          <w:szCs w:val="24"/>
        </w:rPr>
        <w:lastRenderedPageBreak/>
        <w:t xml:space="preserve">mix. Click-through rates dropped from 39.2% to 32.6% from the first quarter of 2003 to the fourth quarter of 2004 (Geyer, 2005). </w:t>
      </w:r>
    </w:p>
    <w:p w14:paraId="6E66A11F" w14:textId="77777777" w:rsidR="008E3600" w:rsidRDefault="00BA2544">
      <w:pPr>
        <w:pStyle w:val="BodyA"/>
        <w:suppressAutoHyphens/>
        <w:spacing w:line="480" w:lineRule="auto"/>
        <w:ind w:firstLine="360"/>
        <w:rPr>
          <w:rFonts w:ascii="Times New Roman" w:eastAsia="Times New Roman" w:hAnsi="Times New Roman" w:cs="Times New Roman"/>
          <w:sz w:val="24"/>
          <w:szCs w:val="24"/>
        </w:rPr>
      </w:pPr>
      <w:r>
        <w:rPr>
          <w:rFonts w:ascii="Times New Roman" w:hAnsi="Times New Roman"/>
          <w:sz w:val="24"/>
          <w:szCs w:val="24"/>
        </w:rPr>
        <w:t xml:space="preserve">The use of e-mail in donor communication is intended to increase blood donations. However, Geyer noted that those who donated more frequently, helped to improve the reach of e-mail marketing. First-time donors had a 19% chance of providing an e-mail, 2nd time was 34%, and 3rd was 42% before leveling off between 41%-43% for 4-6 time donors. The more a donor returns, the more effective e-mail marketing was shown to draw people back in. For a 2nd donation, e-mails were not as effective as it was for donors who have donated over 3 times. The challenge for blood centers is helping the donors take the step from being a one-time donor to becoming a regular blood donor. In the early part of the donor relationship, e-mail is more effective as an additional medium for communication. Once they become regular blood donors, e-mails become more effective in encouraging return donations. A regular blood donor has already made the decision to give blood; at this point, </w:t>
      </w:r>
      <w:proofErr w:type="gramStart"/>
      <w:r>
        <w:rPr>
          <w:rFonts w:ascii="Times New Roman" w:hAnsi="Times New Roman"/>
          <w:sz w:val="24"/>
          <w:szCs w:val="24"/>
        </w:rPr>
        <w:t>an e</w:t>
      </w:r>
      <w:proofErr w:type="gramEnd"/>
      <w:r>
        <w:rPr>
          <w:rFonts w:ascii="Times New Roman" w:hAnsi="Times New Roman"/>
          <w:sz w:val="24"/>
          <w:szCs w:val="24"/>
        </w:rPr>
        <w:t xml:space="preserve">-mail is very effective in reminding them that it is time to donate.  </w:t>
      </w:r>
    </w:p>
    <w:p w14:paraId="724022C3" w14:textId="77777777" w:rsidR="008E3600" w:rsidRDefault="00BA2544">
      <w:pPr>
        <w:pStyle w:val="BodyA"/>
        <w:suppressAutoHyphens/>
        <w:spacing w:line="480" w:lineRule="auto"/>
        <w:ind w:firstLine="360"/>
        <w:rPr>
          <w:rFonts w:ascii="Times New Roman" w:eastAsia="Times New Roman" w:hAnsi="Times New Roman" w:cs="Times New Roman"/>
          <w:sz w:val="24"/>
          <w:szCs w:val="24"/>
        </w:rPr>
      </w:pPr>
      <w:r>
        <w:rPr>
          <w:rFonts w:ascii="Times New Roman" w:hAnsi="Times New Roman"/>
          <w:sz w:val="24"/>
          <w:szCs w:val="24"/>
        </w:rPr>
        <w:t xml:space="preserve">An article on customer contact management was published in </w:t>
      </w:r>
      <w:r>
        <w:rPr>
          <w:rFonts w:ascii="Times New Roman" w:hAnsi="Times New Roman"/>
          <w:i/>
          <w:iCs/>
          <w:sz w:val="24"/>
          <w:szCs w:val="24"/>
        </w:rPr>
        <w:t>Internet Research</w:t>
      </w:r>
      <w:r>
        <w:rPr>
          <w:rFonts w:ascii="Times New Roman" w:hAnsi="Times New Roman"/>
          <w:sz w:val="24"/>
          <w:szCs w:val="24"/>
        </w:rPr>
        <w:t xml:space="preserve"> in 2001. </w:t>
      </w:r>
      <w:proofErr w:type="gramStart"/>
      <w:r>
        <w:rPr>
          <w:rFonts w:ascii="Times New Roman" w:hAnsi="Times New Roman"/>
          <w:sz w:val="24"/>
          <w:szCs w:val="24"/>
        </w:rPr>
        <w:t>“Measuring the Impact of Data Mining on Churn Management” was written by Dr. Miguel Lejeune, who is an associate professor of decision sciences at George Washington University</w:t>
      </w:r>
      <w:proofErr w:type="gramEnd"/>
      <w:r>
        <w:rPr>
          <w:rFonts w:ascii="Times New Roman" w:hAnsi="Times New Roman"/>
          <w:sz w:val="24"/>
          <w:szCs w:val="24"/>
        </w:rPr>
        <w:t>. Previously, he worked as a credit risk manager at Fortis and taught at Carnegie Mellon.</w:t>
      </w:r>
      <w:r>
        <w:rPr>
          <w:rFonts w:ascii="Times New Roman" w:eastAsia="Times New Roman" w:hAnsi="Times New Roman" w:cs="Times New Roman"/>
          <w:sz w:val="24"/>
          <w:szCs w:val="24"/>
          <w:vertAlign w:val="superscript"/>
        </w:rPr>
        <w:footnoteReference w:id="9"/>
      </w:r>
      <w:r>
        <w:rPr>
          <w:rFonts w:ascii="Times New Roman" w:hAnsi="Times New Roman"/>
          <w:sz w:val="24"/>
          <w:szCs w:val="24"/>
        </w:rPr>
        <w:t xml:space="preserve"> He quoted Karen G. </w:t>
      </w:r>
      <w:proofErr w:type="spellStart"/>
      <w:r>
        <w:rPr>
          <w:rFonts w:ascii="Times New Roman" w:hAnsi="Times New Roman"/>
          <w:sz w:val="24"/>
          <w:szCs w:val="24"/>
        </w:rPr>
        <w:t>Strouse</w:t>
      </w:r>
      <w:proofErr w:type="spellEnd"/>
      <w:r>
        <w:rPr>
          <w:rFonts w:ascii="Times New Roman" w:hAnsi="Times New Roman"/>
          <w:sz w:val="24"/>
          <w:szCs w:val="24"/>
        </w:rPr>
        <w:t xml:space="preserve"> to define “churn” as “the annual turnover of the market base (</w:t>
      </w:r>
      <w:proofErr w:type="spellStart"/>
      <w:r>
        <w:rPr>
          <w:rFonts w:ascii="Times New Roman" w:hAnsi="Times New Roman"/>
          <w:sz w:val="24"/>
          <w:szCs w:val="24"/>
        </w:rPr>
        <w:t>Strouse</w:t>
      </w:r>
      <w:proofErr w:type="spellEnd"/>
      <w:r>
        <w:rPr>
          <w:rFonts w:ascii="Times New Roman" w:hAnsi="Times New Roman"/>
          <w:sz w:val="24"/>
          <w:szCs w:val="24"/>
        </w:rPr>
        <w:t xml:space="preserve">, 1999).” Churn is a term to describe customer contact and attrition. Using the image of butter churn, the customer is contacted in cycles. If you under-churn, it stays too soft and does not connect. If you over-churn, it can be too hard and is tossed out. </w:t>
      </w:r>
      <w:proofErr w:type="gramStart"/>
      <w:r>
        <w:rPr>
          <w:rFonts w:ascii="Times New Roman" w:hAnsi="Times New Roman"/>
          <w:sz w:val="24"/>
          <w:szCs w:val="24"/>
        </w:rPr>
        <w:t xml:space="preserve">In customer/donor </w:t>
      </w:r>
      <w:r>
        <w:rPr>
          <w:rFonts w:ascii="Times New Roman" w:hAnsi="Times New Roman"/>
          <w:sz w:val="24"/>
          <w:szCs w:val="24"/>
        </w:rPr>
        <w:lastRenderedPageBreak/>
        <w:t>communications terms, if you under-communicate - people will not respond.</w:t>
      </w:r>
      <w:proofErr w:type="gramEnd"/>
      <w:r>
        <w:rPr>
          <w:rFonts w:ascii="Times New Roman" w:hAnsi="Times New Roman"/>
          <w:sz w:val="24"/>
          <w:szCs w:val="24"/>
        </w:rPr>
        <w:t xml:space="preserve"> </w:t>
      </w:r>
      <w:proofErr w:type="gramStart"/>
      <w:r>
        <w:rPr>
          <w:rFonts w:ascii="Times New Roman" w:hAnsi="Times New Roman"/>
          <w:sz w:val="24"/>
          <w:szCs w:val="24"/>
        </w:rPr>
        <w:t>If you over-communicate, people will move on to your competition or opt out of your product or service.</w:t>
      </w:r>
      <w:proofErr w:type="gramEnd"/>
      <w:r>
        <w:rPr>
          <w:rFonts w:ascii="Times New Roman" w:hAnsi="Times New Roman"/>
          <w:sz w:val="24"/>
          <w:szCs w:val="24"/>
        </w:rPr>
        <w:t xml:space="preserve"> Lejeune has noted that the advent of electronic communication offered the marketer more opportunities to reach the consumer. While this can enable the marketer to be more efficient in being able to communicate their message to specific audiences on a greater scale, the chance of over-churn increases. Electronic communication returns control of how the message goes to the consumer (and how often). Electronic communication is personalized, but the side effect is that a customer has more choice to listen to a different message (Lejeune, 2001).</w:t>
      </w:r>
    </w:p>
    <w:p w14:paraId="21828076" w14:textId="77777777" w:rsidR="008E3600" w:rsidRDefault="00BA2544">
      <w:pPr>
        <w:pStyle w:val="BodyA"/>
        <w:suppressAutoHyphens/>
        <w:spacing w:line="480" w:lineRule="auto"/>
        <w:ind w:firstLine="360"/>
        <w:rPr>
          <w:rFonts w:ascii="Times New Roman" w:eastAsia="Times New Roman" w:hAnsi="Times New Roman" w:cs="Times New Roman"/>
          <w:sz w:val="24"/>
          <w:szCs w:val="24"/>
        </w:rPr>
      </w:pPr>
      <w:r>
        <w:rPr>
          <w:rFonts w:ascii="Times New Roman" w:hAnsi="Times New Roman"/>
          <w:sz w:val="24"/>
          <w:szCs w:val="24"/>
        </w:rPr>
        <w:t xml:space="preserve">Churn rates can vary with each company, depending on market and type of business. In 2000 the average rate of churn in the telecommunications industry was </w:t>
      </w:r>
      <w:proofErr w:type="gramStart"/>
      <w:r>
        <w:rPr>
          <w:rFonts w:ascii="Times New Roman" w:hAnsi="Times New Roman"/>
          <w:sz w:val="24"/>
          <w:szCs w:val="24"/>
        </w:rPr>
        <w:t>between 25% to 30%</w:t>
      </w:r>
      <w:proofErr w:type="gramEnd"/>
      <w:r>
        <w:rPr>
          <w:rFonts w:ascii="Times New Roman" w:hAnsi="Times New Roman"/>
          <w:sz w:val="24"/>
          <w:szCs w:val="24"/>
        </w:rPr>
        <w:t xml:space="preserve">. Internet services providers also had a high rate of churn. They lose up to 10% of their business each month to churn. As technology advances, so do customer expectations. The costs of obtaining new customers are higher than the cost of keeping an existing customer (Lejeune, 2001). </w:t>
      </w:r>
    </w:p>
    <w:p w14:paraId="2686FED1" w14:textId="77777777" w:rsidR="008E3600" w:rsidRDefault="00BA2544">
      <w:pPr>
        <w:pStyle w:val="Default"/>
        <w:suppressAutoHyphens/>
        <w:spacing w:line="480" w:lineRule="auto"/>
        <w:ind w:firstLine="360"/>
        <w:rPr>
          <w:rFonts w:ascii="Times New Roman" w:eastAsia="Times New Roman" w:hAnsi="Times New Roman" w:cs="Times New Roman"/>
          <w:sz w:val="24"/>
          <w:szCs w:val="24"/>
        </w:rPr>
      </w:pPr>
      <w:r>
        <w:rPr>
          <w:rFonts w:ascii="Times New Roman" w:hAnsi="Times New Roman"/>
          <w:sz w:val="24"/>
          <w:szCs w:val="24"/>
        </w:rPr>
        <w:t xml:space="preserve">The framework to facilitate customer relationships more effectively is called CRM or customer relationship management. Managing customer relations is not a new concept; however, the information age has impacted customer communication in a variety of ways. Connections that took more time by traditional means can now be made instantaneously. Feedback from the customer to the company has become quicker. Responses can be </w:t>
      </w:r>
      <w:r w:rsidR="006111CA">
        <w:rPr>
          <w:rFonts w:ascii="Times New Roman" w:hAnsi="Times New Roman"/>
          <w:sz w:val="24"/>
          <w:szCs w:val="24"/>
        </w:rPr>
        <w:t>frank,</w:t>
      </w:r>
      <w:r>
        <w:rPr>
          <w:rFonts w:ascii="Times New Roman" w:hAnsi="Times New Roman"/>
          <w:sz w:val="24"/>
          <w:szCs w:val="24"/>
        </w:rPr>
        <w:t xml:space="preserve"> as people tend to be more blunt online than they are in person or over the phone. An advantage is that marketers have the ability to make mass communications appear to be personalized. The downside is that while marketers can reach more people in a more efficient way, the churn rate also tends to increase. The more customers are put in the churn cycle, the more customers opt out. This may be </w:t>
      </w:r>
      <w:r>
        <w:rPr>
          <w:rFonts w:ascii="Times New Roman" w:hAnsi="Times New Roman"/>
          <w:sz w:val="24"/>
          <w:szCs w:val="24"/>
        </w:rPr>
        <w:lastRenderedPageBreak/>
        <w:t xml:space="preserve">attributed to companies connecting with people who would not normally respond, which may lead to faster opt rate than traditional communication (Lejeune, 2001). </w:t>
      </w:r>
    </w:p>
    <w:p w14:paraId="23EA6A80" w14:textId="77777777" w:rsidR="008E3600" w:rsidRDefault="00BA2544">
      <w:pPr>
        <w:pStyle w:val="Default"/>
        <w:suppressAutoHyphens/>
        <w:spacing w:line="480" w:lineRule="auto"/>
        <w:ind w:firstLine="360"/>
        <w:rPr>
          <w:rFonts w:ascii="Times New Roman" w:eastAsia="Times New Roman" w:hAnsi="Times New Roman" w:cs="Times New Roman"/>
          <w:sz w:val="24"/>
          <w:szCs w:val="24"/>
        </w:rPr>
      </w:pPr>
      <w:r>
        <w:rPr>
          <w:rFonts w:ascii="Times New Roman" w:hAnsi="Times New Roman"/>
          <w:sz w:val="24"/>
          <w:szCs w:val="24"/>
        </w:rPr>
        <w:t xml:space="preserve">The ability to data mine helps the marketer find more people to reach out to. However, those people may not be interested in </w:t>
      </w:r>
      <w:r w:rsidR="006111CA">
        <w:rPr>
          <w:rFonts w:ascii="Times New Roman" w:hAnsi="Times New Roman"/>
          <w:sz w:val="24"/>
          <w:szCs w:val="24"/>
        </w:rPr>
        <w:t>the</w:t>
      </w:r>
      <w:r>
        <w:rPr>
          <w:rFonts w:ascii="Times New Roman" w:hAnsi="Times New Roman"/>
          <w:sz w:val="24"/>
          <w:szCs w:val="24"/>
        </w:rPr>
        <w:t xml:space="preserve"> product or service. Data mining can give the marketer more demographic information not readily available with a telephone or interview setting. We can find more </w:t>
      </w:r>
      <w:proofErr w:type="spellStart"/>
      <w:r>
        <w:rPr>
          <w:rFonts w:ascii="Times New Roman" w:hAnsi="Times New Roman"/>
          <w:sz w:val="24"/>
          <w:szCs w:val="24"/>
        </w:rPr>
        <w:t>trackable</w:t>
      </w:r>
      <w:proofErr w:type="spellEnd"/>
      <w:r>
        <w:rPr>
          <w:rFonts w:ascii="Times New Roman" w:hAnsi="Times New Roman"/>
          <w:sz w:val="24"/>
          <w:szCs w:val="24"/>
        </w:rPr>
        <w:t xml:space="preserve"> information such as click-through rates. This can be a very effective way to measure interest. </w:t>
      </w:r>
      <w:r w:rsidR="006111CA">
        <w:rPr>
          <w:rFonts w:ascii="Times New Roman" w:hAnsi="Times New Roman"/>
          <w:sz w:val="24"/>
          <w:szCs w:val="24"/>
        </w:rPr>
        <w:t>“</w:t>
      </w:r>
      <w:r>
        <w:rPr>
          <w:rFonts w:ascii="Times New Roman" w:hAnsi="Times New Roman"/>
          <w:sz w:val="24"/>
          <w:szCs w:val="24"/>
        </w:rPr>
        <w:t>Cookies</w:t>
      </w:r>
      <w:r w:rsidR="006111CA">
        <w:rPr>
          <w:rFonts w:ascii="Times New Roman" w:hAnsi="Times New Roman"/>
          <w:sz w:val="24"/>
          <w:szCs w:val="24"/>
        </w:rPr>
        <w:t>”</w:t>
      </w:r>
      <w:r>
        <w:rPr>
          <w:rFonts w:ascii="Times New Roman" w:hAnsi="Times New Roman"/>
          <w:sz w:val="24"/>
          <w:szCs w:val="24"/>
        </w:rPr>
        <w:t xml:space="preserve"> allow the marketer to see demographical trends. When a customer shows interest in our product or service, those cookies can be used to target others with a similar profile. Customer registrations can also be a demographic gold mine for the marketer (Lejeune, 2001).</w:t>
      </w:r>
    </w:p>
    <w:p w14:paraId="73046A6B" w14:textId="77777777" w:rsidR="008E3600" w:rsidRDefault="00BA2544">
      <w:pPr>
        <w:pStyle w:val="Default"/>
        <w:suppressAutoHyphens/>
        <w:spacing w:line="480" w:lineRule="auto"/>
        <w:ind w:firstLine="360"/>
        <w:rPr>
          <w:rFonts w:ascii="Times New Roman" w:eastAsia="Times New Roman" w:hAnsi="Times New Roman" w:cs="Times New Roman"/>
          <w:sz w:val="24"/>
          <w:szCs w:val="24"/>
        </w:rPr>
      </w:pPr>
      <w:r>
        <w:rPr>
          <w:rFonts w:ascii="Times New Roman" w:hAnsi="Times New Roman"/>
          <w:sz w:val="24"/>
          <w:szCs w:val="24"/>
        </w:rPr>
        <w:t xml:space="preserve">In the article Lejeune highlighted 4 “needs” to help keep customers from churning out. </w:t>
      </w:r>
    </w:p>
    <w:p w14:paraId="0B737460" w14:textId="77777777" w:rsidR="008E3600" w:rsidRDefault="00BA2544" w:rsidP="006111CA">
      <w:pPr>
        <w:pStyle w:val="Default"/>
        <w:numPr>
          <w:ilvl w:val="0"/>
          <w:numId w:val="3"/>
        </w:numPr>
        <w:suppressAutoHyphens/>
        <w:ind w:right="720"/>
        <w:rPr>
          <w:rFonts w:ascii="Times New Roman" w:eastAsia="Times New Roman" w:hAnsi="Times New Roman" w:cs="Times New Roman"/>
          <w:sz w:val="24"/>
          <w:szCs w:val="24"/>
        </w:rPr>
      </w:pPr>
      <w:r>
        <w:rPr>
          <w:rFonts w:ascii="Times New Roman" w:hAnsi="Times New Roman"/>
          <w:sz w:val="24"/>
          <w:szCs w:val="24"/>
        </w:rPr>
        <w:t xml:space="preserve">The need to discover the motives for opting out of communication. Marketers should find out why the relationship is no longer desirable to the customer. </w:t>
      </w:r>
    </w:p>
    <w:p w14:paraId="674430C2" w14:textId="77777777" w:rsidR="008E3600" w:rsidRDefault="00BA2544" w:rsidP="006111CA">
      <w:pPr>
        <w:pStyle w:val="Default"/>
        <w:numPr>
          <w:ilvl w:val="0"/>
          <w:numId w:val="3"/>
        </w:numPr>
        <w:suppressAutoHyphens/>
        <w:ind w:right="720"/>
        <w:rPr>
          <w:rFonts w:ascii="Times New Roman" w:eastAsia="Times New Roman" w:hAnsi="Times New Roman" w:cs="Times New Roman"/>
          <w:sz w:val="24"/>
          <w:szCs w:val="24"/>
        </w:rPr>
      </w:pPr>
      <w:r>
        <w:rPr>
          <w:rFonts w:ascii="Times New Roman" w:hAnsi="Times New Roman"/>
          <w:sz w:val="24"/>
          <w:szCs w:val="24"/>
        </w:rPr>
        <w:t xml:space="preserve">The need to increase loyalty with existing customers before they churn out. Some who are contacted more often may qualify for special status to include perks not available to the general public. </w:t>
      </w:r>
    </w:p>
    <w:p w14:paraId="3E0F70EC" w14:textId="77777777" w:rsidR="008E3600" w:rsidRDefault="00BA2544" w:rsidP="006111CA">
      <w:pPr>
        <w:pStyle w:val="Default"/>
        <w:numPr>
          <w:ilvl w:val="0"/>
          <w:numId w:val="3"/>
        </w:numPr>
        <w:suppressAutoHyphens/>
        <w:ind w:right="720"/>
        <w:rPr>
          <w:rFonts w:ascii="Times New Roman" w:eastAsia="Times New Roman" w:hAnsi="Times New Roman" w:cs="Times New Roman"/>
          <w:sz w:val="24"/>
          <w:szCs w:val="24"/>
        </w:rPr>
      </w:pPr>
      <w:r>
        <w:rPr>
          <w:rFonts w:ascii="Times New Roman" w:hAnsi="Times New Roman"/>
          <w:sz w:val="24"/>
          <w:szCs w:val="24"/>
        </w:rPr>
        <w:t xml:space="preserve">The need to create a plan to “re-capture” these profitable customers. By using the information in </w:t>
      </w:r>
      <w:r w:rsidR="006111CA">
        <w:rPr>
          <w:rFonts w:ascii="Times New Roman" w:hAnsi="Times New Roman"/>
          <w:sz w:val="24"/>
          <w:szCs w:val="24"/>
        </w:rPr>
        <w:t>“</w:t>
      </w:r>
      <w:r>
        <w:rPr>
          <w:rFonts w:ascii="Times New Roman" w:hAnsi="Times New Roman"/>
          <w:sz w:val="24"/>
          <w:szCs w:val="24"/>
        </w:rPr>
        <w:t>need</w:t>
      </w:r>
      <w:r w:rsidR="006111CA">
        <w:rPr>
          <w:rFonts w:ascii="Times New Roman" w:hAnsi="Times New Roman"/>
          <w:sz w:val="24"/>
          <w:szCs w:val="24"/>
        </w:rPr>
        <w:t>”</w:t>
      </w:r>
      <w:r>
        <w:rPr>
          <w:rFonts w:ascii="Times New Roman" w:hAnsi="Times New Roman"/>
          <w:sz w:val="24"/>
          <w:szCs w:val="24"/>
        </w:rPr>
        <w:t xml:space="preserve"> </w:t>
      </w:r>
      <w:r w:rsidR="006111CA">
        <w:rPr>
          <w:rFonts w:ascii="Times New Roman" w:hAnsi="Times New Roman"/>
          <w:sz w:val="24"/>
          <w:szCs w:val="24"/>
        </w:rPr>
        <w:t>No.</w:t>
      </w:r>
      <w:r>
        <w:rPr>
          <w:rFonts w:ascii="Times New Roman" w:hAnsi="Times New Roman"/>
          <w:sz w:val="24"/>
          <w:szCs w:val="24"/>
        </w:rPr>
        <w:t xml:space="preserve"> 1</w:t>
      </w:r>
      <w:r w:rsidR="006111CA">
        <w:rPr>
          <w:rFonts w:ascii="Times New Roman" w:hAnsi="Times New Roman"/>
          <w:sz w:val="24"/>
          <w:szCs w:val="24"/>
        </w:rPr>
        <w:t>, listed above</w:t>
      </w:r>
      <w:r>
        <w:rPr>
          <w:rFonts w:ascii="Times New Roman" w:hAnsi="Times New Roman"/>
          <w:sz w:val="24"/>
          <w:szCs w:val="24"/>
        </w:rPr>
        <w:t xml:space="preserve">, marketers can see how to counter their desire to leave with a reason to stay. </w:t>
      </w:r>
    </w:p>
    <w:p w14:paraId="716BDD88" w14:textId="77777777" w:rsidR="008E3600" w:rsidRDefault="00BA2544" w:rsidP="006111CA">
      <w:pPr>
        <w:pStyle w:val="Default"/>
        <w:numPr>
          <w:ilvl w:val="0"/>
          <w:numId w:val="3"/>
        </w:numPr>
        <w:suppressAutoHyphens/>
        <w:ind w:right="720"/>
        <w:rPr>
          <w:rFonts w:ascii="Times New Roman" w:eastAsia="Times New Roman" w:hAnsi="Times New Roman" w:cs="Times New Roman"/>
          <w:sz w:val="24"/>
          <w:szCs w:val="24"/>
        </w:rPr>
      </w:pPr>
      <w:r>
        <w:rPr>
          <w:rFonts w:ascii="Times New Roman" w:hAnsi="Times New Roman"/>
          <w:sz w:val="24"/>
          <w:szCs w:val="24"/>
        </w:rPr>
        <w:t>The need to customize campaigns to lessen churn before it happens. Marketers should try to set the best rate of contact before they make the contact (Lejeune, 2001).</w:t>
      </w:r>
    </w:p>
    <w:p w14:paraId="521E9567" w14:textId="77777777" w:rsidR="008E3600" w:rsidRDefault="008E3600">
      <w:pPr>
        <w:pStyle w:val="Default"/>
        <w:suppressAutoHyphens/>
        <w:ind w:left="360" w:firstLine="360"/>
        <w:rPr>
          <w:rFonts w:ascii="Times New Roman" w:eastAsia="Times New Roman" w:hAnsi="Times New Roman" w:cs="Times New Roman"/>
          <w:sz w:val="24"/>
          <w:szCs w:val="24"/>
        </w:rPr>
      </w:pPr>
    </w:p>
    <w:p w14:paraId="7A5678F1" w14:textId="58362C60" w:rsidR="008E3600" w:rsidRDefault="00BA2544">
      <w:pPr>
        <w:pStyle w:val="Default"/>
        <w:suppressAutoHyphens/>
        <w:spacing w:line="480" w:lineRule="auto"/>
        <w:ind w:firstLine="360"/>
        <w:rPr>
          <w:rFonts w:ascii="Times New Roman" w:eastAsia="Times New Roman" w:hAnsi="Times New Roman" w:cs="Times New Roman"/>
          <w:sz w:val="24"/>
          <w:szCs w:val="24"/>
        </w:rPr>
      </w:pPr>
      <w:r>
        <w:rPr>
          <w:rFonts w:ascii="Times New Roman" w:hAnsi="Times New Roman"/>
          <w:sz w:val="24"/>
          <w:szCs w:val="24"/>
        </w:rPr>
        <w:t>As marketers have many new tools in their digital toolbox, it would be wise for them to evaluate how best to use them. Building a bigger database is a useful goal. However, using digital tools to help the customer connect with the company in a relationship may yield more desirable results. This may depend on the industry. In some ma</w:t>
      </w:r>
      <w:r w:rsidR="00CA5319">
        <w:rPr>
          <w:rFonts w:ascii="Times New Roman" w:hAnsi="Times New Roman"/>
          <w:sz w:val="24"/>
          <w:szCs w:val="24"/>
        </w:rPr>
        <w:t>rkets, the transition is surficial</w:t>
      </w:r>
      <w:r>
        <w:rPr>
          <w:rFonts w:ascii="Times New Roman" w:hAnsi="Times New Roman"/>
          <w:sz w:val="24"/>
          <w:szCs w:val="24"/>
        </w:rPr>
        <w:t xml:space="preserve"> and </w:t>
      </w:r>
      <w:r w:rsidR="00CA5319">
        <w:rPr>
          <w:rFonts w:ascii="Times New Roman" w:hAnsi="Times New Roman"/>
          <w:sz w:val="24"/>
          <w:szCs w:val="24"/>
        </w:rPr>
        <w:t>the desire</w:t>
      </w:r>
      <w:r w:rsidR="000759AD">
        <w:rPr>
          <w:rFonts w:ascii="Times New Roman" w:hAnsi="Times New Roman"/>
          <w:sz w:val="24"/>
          <w:szCs w:val="24"/>
        </w:rPr>
        <w:t xml:space="preserve"> is</w:t>
      </w:r>
      <w:r w:rsidR="00CA5319">
        <w:rPr>
          <w:rFonts w:ascii="Times New Roman" w:hAnsi="Times New Roman"/>
          <w:sz w:val="24"/>
          <w:szCs w:val="24"/>
        </w:rPr>
        <w:t xml:space="preserve"> simply to contact </w:t>
      </w:r>
      <w:r>
        <w:rPr>
          <w:rFonts w:ascii="Times New Roman" w:hAnsi="Times New Roman"/>
          <w:sz w:val="24"/>
          <w:szCs w:val="24"/>
        </w:rPr>
        <w:t>more people. However, in other indu</w:t>
      </w:r>
      <w:r w:rsidR="00356003">
        <w:rPr>
          <w:rFonts w:ascii="Times New Roman" w:hAnsi="Times New Roman"/>
          <w:sz w:val="24"/>
          <w:szCs w:val="24"/>
        </w:rPr>
        <w:t>stries (particularly in service-</w:t>
      </w:r>
      <w:r>
        <w:rPr>
          <w:rFonts w:ascii="Times New Roman" w:hAnsi="Times New Roman"/>
          <w:sz w:val="24"/>
          <w:szCs w:val="24"/>
        </w:rPr>
        <w:t>oriented ones)</w:t>
      </w:r>
      <w:r w:rsidR="00356003">
        <w:rPr>
          <w:rFonts w:ascii="Times New Roman" w:hAnsi="Times New Roman"/>
          <w:sz w:val="24"/>
          <w:szCs w:val="24"/>
        </w:rPr>
        <w:t>,</w:t>
      </w:r>
      <w:r>
        <w:rPr>
          <w:rFonts w:ascii="Times New Roman" w:hAnsi="Times New Roman"/>
          <w:sz w:val="24"/>
          <w:szCs w:val="24"/>
        </w:rPr>
        <w:t xml:space="preserve"> the quality of the interaction matters. The CRM may best be used to </w:t>
      </w:r>
      <w:r>
        <w:rPr>
          <w:rFonts w:ascii="Times New Roman" w:hAnsi="Times New Roman"/>
          <w:sz w:val="24"/>
          <w:szCs w:val="24"/>
        </w:rPr>
        <w:lastRenderedPageBreak/>
        <w:t xml:space="preserve">deepen the relationship with the customer. Loyalty can be strengthened with meaningful contact. </w:t>
      </w:r>
      <w:r w:rsidR="00356003">
        <w:rPr>
          <w:rFonts w:ascii="Times New Roman" w:hAnsi="Times New Roman"/>
          <w:sz w:val="24"/>
          <w:szCs w:val="24"/>
        </w:rPr>
        <w:t>Fewer,</w:t>
      </w:r>
      <w:r>
        <w:rPr>
          <w:rFonts w:ascii="Times New Roman" w:hAnsi="Times New Roman"/>
          <w:sz w:val="24"/>
          <w:szCs w:val="24"/>
        </w:rPr>
        <w:t xml:space="preserve"> but more deliberate contact</w:t>
      </w:r>
      <w:r w:rsidR="00356003">
        <w:rPr>
          <w:rFonts w:ascii="Times New Roman" w:hAnsi="Times New Roman"/>
          <w:sz w:val="24"/>
          <w:szCs w:val="24"/>
        </w:rPr>
        <w:t>s</w:t>
      </w:r>
      <w:r>
        <w:rPr>
          <w:rFonts w:ascii="Times New Roman" w:hAnsi="Times New Roman"/>
          <w:sz w:val="24"/>
          <w:szCs w:val="24"/>
        </w:rPr>
        <w:t xml:space="preserve"> may help the relationship</w:t>
      </w:r>
      <w:r w:rsidR="00356003">
        <w:rPr>
          <w:rFonts w:ascii="Times New Roman" w:hAnsi="Times New Roman"/>
          <w:sz w:val="24"/>
          <w:szCs w:val="24"/>
        </w:rPr>
        <w:t>,</w:t>
      </w:r>
      <w:r>
        <w:rPr>
          <w:rFonts w:ascii="Times New Roman" w:hAnsi="Times New Roman"/>
          <w:sz w:val="24"/>
          <w:szCs w:val="24"/>
        </w:rPr>
        <w:t xml:space="preserve"> while a lot of surface level contact can add distance and give an unsavory impression of the company (File, 1993).     </w:t>
      </w:r>
    </w:p>
    <w:p w14:paraId="626A9E4C" w14:textId="77777777" w:rsidR="008E3600" w:rsidRDefault="00BA2544">
      <w:pPr>
        <w:pStyle w:val="BodyB"/>
        <w:suppressAutoHyphens/>
        <w:spacing w:line="480" w:lineRule="auto"/>
        <w:ind w:firstLine="360"/>
      </w:pPr>
      <w:r>
        <w:t xml:space="preserve">As the Donor Communications Specialist at Blood Assurance, I have been reviewing donor communication practices and trends. I reviewed the month of </w:t>
      </w:r>
      <w:proofErr w:type="gramStart"/>
      <w:r>
        <w:t>October,</w:t>
      </w:r>
      <w:proofErr w:type="gramEnd"/>
      <w:r>
        <w:t xml:space="preserve"> 2015 to serve as the example for my case study. This month was chosen because it was the first full month in my new position. I was also able to examine the whole month in time for the deadline of this study. </w:t>
      </w:r>
    </w:p>
    <w:p w14:paraId="047C7434" w14:textId="77777777" w:rsidR="00356003" w:rsidRDefault="00356003">
      <w:pPr>
        <w:pStyle w:val="BodyB"/>
        <w:suppressAutoHyphens/>
        <w:spacing w:line="480" w:lineRule="auto"/>
        <w:ind w:firstLine="360"/>
      </w:pPr>
      <w:r>
        <w:t xml:space="preserve">There were </w:t>
      </w:r>
      <w:r w:rsidR="00BA2544">
        <w:t xml:space="preserve">45,748 phone calls made in the month of October by the </w:t>
      </w:r>
      <w:proofErr w:type="spellStart"/>
      <w:r w:rsidR="00BA2544">
        <w:t>telerecruiters</w:t>
      </w:r>
      <w:proofErr w:type="spellEnd"/>
      <w:r w:rsidR="00BA2544">
        <w:t xml:space="preserve"> of Blood Assurance. This effort yielded 2,624 (5.73%) appointments for a return blood donation. </w:t>
      </w:r>
    </w:p>
    <w:p w14:paraId="6FBA065F" w14:textId="0B262A89" w:rsidR="008E3600" w:rsidRDefault="00356003" w:rsidP="00356003">
      <w:pPr>
        <w:pStyle w:val="BodyB"/>
        <w:suppressAutoHyphens/>
        <w:spacing w:line="480" w:lineRule="auto"/>
        <w:ind w:firstLine="360"/>
      </w:pPr>
      <w:r>
        <w:t>In addition, 223,687 e-mails were sent in that month</w:t>
      </w:r>
      <w:r w:rsidR="00BA2544">
        <w:t xml:space="preserve">. </w:t>
      </w:r>
      <w:r>
        <w:t xml:space="preserve">Of these e-mails, </w:t>
      </w:r>
      <w:r w:rsidR="00BA2544">
        <w:t xml:space="preserve">46,687 </w:t>
      </w:r>
      <w:r>
        <w:t>were</w:t>
      </w:r>
      <w:r w:rsidR="00BA2544">
        <w:t xml:space="preserve"> sent automatically from </w:t>
      </w:r>
      <w:proofErr w:type="spellStart"/>
      <w:r w:rsidR="00BA2544">
        <w:t>HemaConnect</w:t>
      </w:r>
      <w:proofErr w:type="spellEnd"/>
      <w:r w:rsidR="00BA2544">
        <w:t xml:space="preserve"> (appointment reminders, eligibility notifications, birthdays, etc.</w:t>
      </w:r>
      <w:r>
        <w:t xml:space="preserve">) and </w:t>
      </w:r>
      <w:r w:rsidR="00C07D1B">
        <w:t xml:space="preserve">177,000 e-mails were sent from </w:t>
      </w:r>
      <w:r>
        <w:t>19 campaigns</w:t>
      </w:r>
      <w:r w:rsidR="00BA2544">
        <w:t xml:space="preserve">. Within a week, 1,734 donations were made for a .98% return. There were 5 campaigns with a higher than 5% return yield and 6 with less than a 1% yield. </w:t>
      </w:r>
    </w:p>
    <w:p w14:paraId="4E9354AF" w14:textId="4E134257" w:rsidR="008E3600" w:rsidRDefault="00BA2544">
      <w:pPr>
        <w:pStyle w:val="BodyB"/>
        <w:suppressAutoHyphens/>
        <w:spacing w:line="480" w:lineRule="auto"/>
        <w:ind w:firstLine="360"/>
      </w:pPr>
      <w:r>
        <w:t xml:space="preserve">12,890 total texts were sent </w:t>
      </w:r>
      <w:r w:rsidR="00C07D1B">
        <w:t>during</w:t>
      </w:r>
      <w:r>
        <w:t xml:space="preserve"> the </w:t>
      </w:r>
      <w:r w:rsidR="00C07D1B">
        <w:t>same month</w:t>
      </w:r>
      <w:r>
        <w:t>, of w</w:t>
      </w:r>
      <w:r w:rsidR="00C07D1B">
        <w:t xml:space="preserve">hich 2,326 were automated texts, and </w:t>
      </w:r>
      <w:r>
        <w:t xml:space="preserve">10,564 texts were sent as part of 12 separate campaigns. </w:t>
      </w:r>
      <w:r w:rsidR="00C07D1B">
        <w:t>With</w:t>
      </w:r>
      <w:r>
        <w:t>in the next week</w:t>
      </w:r>
      <w:r w:rsidR="00C07D1B">
        <w:t>, 431 donations were made</w:t>
      </w:r>
      <w:r>
        <w:t xml:space="preserve"> for a 5.57% average yield.</w:t>
      </w:r>
    </w:p>
    <w:p w14:paraId="0524A641" w14:textId="7A08B01F" w:rsidR="008E3600" w:rsidRDefault="00BA2544">
      <w:pPr>
        <w:pStyle w:val="BodyB"/>
        <w:suppressAutoHyphens/>
        <w:spacing w:line="480" w:lineRule="auto"/>
        <w:ind w:firstLine="360"/>
      </w:pPr>
      <w:r>
        <w:t xml:space="preserve">   Blood Assurance has increased its cloud calling in th</w:t>
      </w:r>
      <w:r w:rsidR="004B6632">
        <w:t>e past year. These are computer-</w:t>
      </w:r>
      <w:r>
        <w:t xml:space="preserve">generated phone calls that contain a pre-recorded message or an automated message. </w:t>
      </w:r>
      <w:r w:rsidR="004B6632">
        <w:t>For the month of October</w:t>
      </w:r>
      <w:proofErr w:type="gramStart"/>
      <w:r w:rsidR="004B6632">
        <w:t xml:space="preserve">,  </w:t>
      </w:r>
      <w:r>
        <w:t>2,183</w:t>
      </w:r>
      <w:proofErr w:type="gramEnd"/>
      <w:r>
        <w:t xml:space="preserve"> cloud calls were made from 3 separate campaigns. Blood Assurance measures effectiveness of cloud call “calls by returns” </w:t>
      </w:r>
      <w:r w:rsidR="004B6632">
        <w:t>by</w:t>
      </w:r>
      <w:r>
        <w:t xml:space="preserve"> one month as they are often used for lapsed donors. </w:t>
      </w:r>
      <w:r w:rsidR="004B6632">
        <w:t>A</w:t>
      </w:r>
      <w:r>
        <w:t>fter these calls</w:t>
      </w:r>
      <w:r w:rsidR="004B6632">
        <w:t xml:space="preserve">, 206 donations were made in the month for </w:t>
      </w:r>
      <w:proofErr w:type="gramStart"/>
      <w:r w:rsidR="004B6632">
        <w:t>a</w:t>
      </w:r>
      <w:proofErr w:type="gramEnd"/>
      <w:r w:rsidR="004B6632">
        <w:t xml:space="preserve"> 8.16% yield. </w:t>
      </w:r>
      <w:r>
        <w:t xml:space="preserve">This </w:t>
      </w:r>
      <w:r>
        <w:lastRenderedPageBreak/>
        <w:t xml:space="preserve">was a very high yield for cloud calls (which are typically lower than 4%) because of a successful campaign using deputy Police Chief </w:t>
      </w:r>
      <w:proofErr w:type="spellStart"/>
      <w:r>
        <w:t>Roddy</w:t>
      </w:r>
      <w:proofErr w:type="spellEnd"/>
      <w:r>
        <w:t xml:space="preserve"> (two campaigns with over 12% return rates). </w:t>
      </w:r>
    </w:p>
    <w:p w14:paraId="6A0AB592" w14:textId="5697F052" w:rsidR="008E3600" w:rsidRDefault="00BA2544">
      <w:pPr>
        <w:pStyle w:val="BodyB"/>
        <w:suppressAutoHyphens/>
        <w:spacing w:line="480" w:lineRule="auto"/>
        <w:ind w:firstLine="360"/>
      </w:pPr>
      <w:r>
        <w:t xml:space="preserve">There were 9,828 blood donations in </w:t>
      </w:r>
      <w:r w:rsidR="004B6632">
        <w:t>October</w:t>
      </w:r>
      <w:r>
        <w:t xml:space="preserve"> 2015 compared to 10,511 in September and 8,366 in November. </w:t>
      </w:r>
      <w:r w:rsidR="004B6632">
        <w:t xml:space="preserve">A total of </w:t>
      </w:r>
      <w:r>
        <w:t>641 donors were moved to “do not contact” status for the month of October compared to 724 in Septembe</w:t>
      </w:r>
      <w:r w:rsidR="004B6632">
        <w:t>r and 528 in November. The drop</w:t>
      </w:r>
      <w:r>
        <w:t>out rate of people moved to the do not contact list was 6.5% in comparison to the amount of people who donat</w:t>
      </w:r>
      <w:r w:rsidR="004B6632">
        <w:t xml:space="preserve">ed in October (9,828). The </w:t>
      </w:r>
      <w:proofErr w:type="gramStart"/>
      <w:r w:rsidR="004B6632">
        <w:t>drop-</w:t>
      </w:r>
      <w:r>
        <w:t>out</w:t>
      </w:r>
      <w:proofErr w:type="gramEnd"/>
      <w:r>
        <w:t xml:space="preserve"> rate was 6.8% in September (10,511) and 6.3% in November (8,366). </w:t>
      </w:r>
    </w:p>
    <w:p w14:paraId="37E49774" w14:textId="705A2CF9" w:rsidR="008E3600" w:rsidRDefault="00BA2544">
      <w:pPr>
        <w:pStyle w:val="BodyB"/>
        <w:suppressAutoHyphens/>
        <w:spacing w:line="480" w:lineRule="auto"/>
        <w:ind w:firstLine="360"/>
      </w:pPr>
      <w:r>
        <w:t xml:space="preserve">I examined 100 of the 641 do not call donors through the </w:t>
      </w:r>
      <w:proofErr w:type="spellStart"/>
      <w:r>
        <w:t>HemaConnect</w:t>
      </w:r>
      <w:proofErr w:type="spellEnd"/>
      <w:r>
        <w:t xml:space="preserve"> CRM software. In some cases, I looked up their files in the BBIMS database, which has more medical information than </w:t>
      </w:r>
      <w:proofErr w:type="spellStart"/>
      <w:r>
        <w:t>HemaConnect</w:t>
      </w:r>
      <w:proofErr w:type="spellEnd"/>
      <w:r>
        <w:t xml:space="preserve">. </w:t>
      </w:r>
      <w:r w:rsidR="004B6632">
        <w:t>One hundred donations gave me a large enough data</w:t>
      </w:r>
      <w:r>
        <w:t xml:space="preserve">base to </w:t>
      </w:r>
      <w:r w:rsidR="00A14DFC">
        <w:t xml:space="preserve">make </w:t>
      </w:r>
      <w:r w:rsidR="001C56F0">
        <w:t xml:space="preserve">a </w:t>
      </w:r>
      <w:r w:rsidR="00A14DFC">
        <w:t>reasonable evaluation with</w:t>
      </w:r>
      <w:r>
        <w:t>in the time parameters of my class assignments as well as my access as the Donor Care Specialist at Blood Assurance. I identified medical issues in 34 of the 100 donors. Special process codes are often noted in the assertions section of the donor file. These codes show eligibility of donors based on medical issues. I also noted who moved the donor file to do not contact. If someone from the Quality Assurance or QA department move</w:t>
      </w:r>
      <w:r w:rsidR="00224836">
        <w:t>d</w:t>
      </w:r>
      <w:r>
        <w:t xml:space="preserve"> the file to do not contact, it would be because of a medical issue. </w:t>
      </w:r>
    </w:p>
    <w:p w14:paraId="579308D1" w14:textId="7ADE0CA2" w:rsidR="008E3600" w:rsidRDefault="00360968">
      <w:pPr>
        <w:pStyle w:val="BodyB"/>
        <w:suppressAutoHyphens/>
        <w:spacing w:line="480" w:lineRule="auto"/>
        <w:ind w:firstLine="360"/>
      </w:pPr>
      <w:r>
        <w:t>There were 28</w:t>
      </w:r>
      <w:r w:rsidR="00BA2544">
        <w:t xml:space="preserve"> donors </w:t>
      </w:r>
      <w:r>
        <w:t>there were</w:t>
      </w:r>
      <w:r w:rsidR="00BA2544">
        <w:t xml:space="preserve"> put in do not contact because of administrative issues. </w:t>
      </w:r>
      <w:r>
        <w:t>There were 9</w:t>
      </w:r>
      <w:r w:rsidR="00BA2544">
        <w:t xml:space="preserve"> first-time donors who did not opt for donor communication. </w:t>
      </w:r>
      <w:r>
        <w:t xml:space="preserve">Another </w:t>
      </w:r>
      <w:r w:rsidR="00BA2544">
        <w:t>6 donors moved out of the region</w:t>
      </w:r>
      <w:r w:rsidR="00487A0A">
        <w:t>, and</w:t>
      </w:r>
      <w:r>
        <w:t xml:space="preserve"> </w:t>
      </w:r>
      <w:r w:rsidR="00BA2544">
        <w:t xml:space="preserve">1 donor entered the military (the Air Force). This donor could have been “right timed” or have their next contact date moved back 3 or 4 years. </w:t>
      </w:r>
      <w:r w:rsidR="00487A0A">
        <w:t xml:space="preserve">There was </w:t>
      </w:r>
      <w:r w:rsidR="00BA2544">
        <w:t xml:space="preserve">1 </w:t>
      </w:r>
      <w:r w:rsidR="00487A0A">
        <w:t xml:space="preserve">donor </w:t>
      </w:r>
      <w:proofErr w:type="spellStart"/>
      <w:r w:rsidR="00487A0A">
        <w:t>wtih</w:t>
      </w:r>
      <w:proofErr w:type="spellEnd"/>
      <w:r w:rsidR="00BA2544">
        <w:t xml:space="preserve"> no contact information. If they had been kept in the system, they would have been put on </w:t>
      </w:r>
      <w:r w:rsidR="00BA2544">
        <w:lastRenderedPageBreak/>
        <w:t xml:space="preserve">the list for a contact for a future search from Lexis </w:t>
      </w:r>
      <w:proofErr w:type="spellStart"/>
      <w:r w:rsidR="00BA2544">
        <w:t>Nexis</w:t>
      </w:r>
      <w:proofErr w:type="spellEnd"/>
      <w:r w:rsidR="00BA2544">
        <w:t xml:space="preserve">. </w:t>
      </w:r>
      <w:r w:rsidR="00487A0A">
        <w:t xml:space="preserve">I found </w:t>
      </w:r>
      <w:r w:rsidR="00BA2544">
        <w:t xml:space="preserve">9 had issues with the phone </w:t>
      </w:r>
      <w:r w:rsidR="00A50E7D">
        <w:t>number;</w:t>
      </w:r>
      <w:r w:rsidR="00BA2544">
        <w:t xml:space="preserve"> such as system errors other than disconnect messages. </w:t>
      </w:r>
    </w:p>
    <w:p w14:paraId="3EC6254C" w14:textId="3C18B129" w:rsidR="008E3600" w:rsidRDefault="00BA2544">
      <w:pPr>
        <w:pStyle w:val="BodyB"/>
        <w:suppressAutoHyphens/>
        <w:spacing w:line="480" w:lineRule="auto"/>
        <w:ind w:firstLine="360"/>
      </w:pPr>
      <w:r>
        <w:t xml:space="preserve">The </w:t>
      </w:r>
      <w:r w:rsidR="00487A0A">
        <w:t>remaining</w:t>
      </w:r>
      <w:r>
        <w:t xml:space="preserve"> 38 donors appear</w:t>
      </w:r>
      <w:r w:rsidR="00487A0A">
        <w:t xml:space="preserve"> to have been put on the list due</w:t>
      </w:r>
      <w:r>
        <w:t xml:space="preserve"> to donor contact issues. </w:t>
      </w:r>
      <w:r w:rsidR="00487A0A">
        <w:t xml:space="preserve">This includes </w:t>
      </w:r>
      <w:r>
        <w:t xml:space="preserve">9 donors </w:t>
      </w:r>
      <w:r w:rsidR="00487A0A">
        <w:t xml:space="preserve">who </w:t>
      </w:r>
      <w:r>
        <w:t xml:space="preserve">specifically asked us to not call. It may have been better if they had been put to text/e-mail only status instead of do not contact. Even if they do not </w:t>
      </w:r>
      <w:r w:rsidR="00487A0A">
        <w:t xml:space="preserve">currently </w:t>
      </w:r>
      <w:r>
        <w:t xml:space="preserve">have </w:t>
      </w:r>
      <w:proofErr w:type="gramStart"/>
      <w:r>
        <w:t>an e</w:t>
      </w:r>
      <w:proofErr w:type="gramEnd"/>
      <w:r>
        <w:t xml:space="preserve">-mail, if they add an e-mail later we can connect them that way. If they are in do not contact status, then we </w:t>
      </w:r>
      <w:r w:rsidR="00A50E7D">
        <w:t>cannot</w:t>
      </w:r>
      <w:r>
        <w:t xml:space="preserve"> send them e-mails. If donors who are m</w:t>
      </w:r>
      <w:r w:rsidR="00BB36B3">
        <w:t xml:space="preserve">oved to this status due to </w:t>
      </w:r>
      <w:proofErr w:type="spellStart"/>
      <w:r w:rsidR="00BB36B3">
        <w:t>over</w:t>
      </w:r>
      <w:r>
        <w:t>contact</w:t>
      </w:r>
      <w:proofErr w:type="spellEnd"/>
      <w:r>
        <w:t xml:space="preserve">, then they should still be right timed at least 60 days to give them a break before they receive a text or e-mail. Another 18 donors may have also been moved to the do not call list because of a request by donors. There </w:t>
      </w:r>
      <w:r w:rsidR="00BB36B3">
        <w:t>were no specific notes</w:t>
      </w:r>
      <w:r>
        <w:t xml:space="preserve"> in the file, but the last </w:t>
      </w:r>
      <w:r w:rsidR="00BB36B3">
        <w:t xml:space="preserve">result showed a </w:t>
      </w:r>
      <w:r>
        <w:t xml:space="preserve">contact was with the donor </w:t>
      </w:r>
      <w:r w:rsidR="00BB36B3">
        <w:t>or there were</w:t>
      </w:r>
      <w:r>
        <w:t xml:space="preserve"> several </w:t>
      </w:r>
      <w:r w:rsidR="00BB36B3">
        <w:t xml:space="preserve">call </w:t>
      </w:r>
      <w:r>
        <w:t xml:space="preserve">attempts before being moved to do not contact. </w:t>
      </w:r>
      <w:r w:rsidR="00BB36B3">
        <w:t xml:space="preserve">There was </w:t>
      </w:r>
      <w:r>
        <w:t>1 donor moved to do not contact instead of being put to mobile only, which according to notes, was their preference. Another 10 are unknown because of lack of notes on contact. There was not a lot of communication building up to the file change</w:t>
      </w:r>
      <w:r w:rsidR="00BB36B3">
        <w:t>,</w:t>
      </w:r>
      <w:r>
        <w:t xml:space="preserve"> or there did not seem to be an actual contact with the donor before they were moved to do not contact.</w:t>
      </w:r>
    </w:p>
    <w:p w14:paraId="5291B99D" w14:textId="1A79776B" w:rsidR="008E3600" w:rsidRDefault="00BA2544">
      <w:pPr>
        <w:pStyle w:val="BodyB"/>
        <w:suppressAutoHyphens/>
        <w:spacing w:line="480" w:lineRule="auto"/>
        <w:ind w:firstLine="360"/>
      </w:pPr>
      <w:r>
        <w:t>It is not easy to get people to volunteer their time and donate blood. It is not comfortable and many people have a fear of needles. Those who end up donating are not likely to become regular donors. Therefore, it is important for regular donor files to be given great care. Every employee needs to be following donor communication pr</w:t>
      </w:r>
      <w:r w:rsidR="00BB36B3">
        <w:t>otocol to decrease churn. Donor</w:t>
      </w:r>
      <w:r>
        <w:t>s need to be rig</w:t>
      </w:r>
      <w:r w:rsidR="00BB36B3">
        <w:t>ht timed “before” they are over</w:t>
      </w:r>
      <w:r>
        <w:t xml:space="preserve">called, as per the established calling protocols. Employees need to make sure that they are finalizing their calls properly so their call outcome is properly recorded and the file is moved out of the calling cue. Employees need to use </w:t>
      </w:r>
      <w:proofErr w:type="spellStart"/>
      <w:r>
        <w:t>HemaConnect</w:t>
      </w:r>
      <w:proofErr w:type="spellEnd"/>
      <w:r>
        <w:t xml:space="preserve"> when calling donors to ensure that donor contacts are being tracked. </w:t>
      </w:r>
    </w:p>
    <w:p w14:paraId="3B8A902E" w14:textId="62E87128" w:rsidR="008E3600" w:rsidRDefault="00BB36B3">
      <w:pPr>
        <w:pStyle w:val="BodyB"/>
        <w:suppressAutoHyphens/>
        <w:spacing w:line="480" w:lineRule="auto"/>
        <w:ind w:firstLine="360"/>
      </w:pPr>
      <w:r>
        <w:lastRenderedPageBreak/>
        <w:t>This study also emphasizes</w:t>
      </w:r>
      <w:r w:rsidR="00BA2544">
        <w:t xml:space="preserve"> the importance of finding new donors. The efforts of the marketing team and the donor recruiters are vital for the future of Blood Assurance. </w:t>
      </w:r>
      <w:r>
        <w:t>M</w:t>
      </w:r>
      <w:r w:rsidR="00BA2544">
        <w:t xml:space="preserve">any people </w:t>
      </w:r>
      <w:r>
        <w:t xml:space="preserve">who </w:t>
      </w:r>
      <w:r w:rsidR="00BA2544">
        <w:t>are eligible to donate blood do not</w:t>
      </w:r>
      <w:r>
        <w:t xml:space="preserve"> do so</w:t>
      </w:r>
      <w:r w:rsidR="00BA2544">
        <w:t xml:space="preserve">. Awareness of the need will help bring some of them in. Testimonials can help raise awareness to the need. They can also help the donor realize that blood donation is something they can handle and </w:t>
      </w:r>
      <w:r>
        <w:t xml:space="preserve">a way to </w:t>
      </w:r>
      <w:bookmarkStart w:id="0" w:name="_GoBack"/>
      <w:bookmarkEnd w:id="0"/>
      <w:r w:rsidR="00BA2544">
        <w:t>make a difference in their community.</w:t>
      </w:r>
    </w:p>
    <w:p w14:paraId="4DCA0DE0" w14:textId="77777777" w:rsidR="008E3600" w:rsidRDefault="00BA2544">
      <w:pPr>
        <w:pStyle w:val="Body"/>
      </w:pPr>
      <w:r>
        <w:rPr>
          <w:rFonts w:ascii="Arial Unicode MS" w:hAnsi="Arial Unicode MS"/>
          <w:sz w:val="22"/>
          <w:szCs w:val="22"/>
        </w:rPr>
        <w:br w:type="page"/>
      </w:r>
    </w:p>
    <w:p w14:paraId="5B832A0F" w14:textId="77777777" w:rsidR="008E3600" w:rsidRDefault="00BA2544">
      <w:pPr>
        <w:pStyle w:val="BodyA"/>
        <w:suppressAutoHyphens/>
        <w:spacing w:line="480" w:lineRule="auto"/>
        <w:jc w:val="center"/>
        <w:rPr>
          <w:rFonts w:ascii="Times New Roman" w:eastAsia="Times New Roman" w:hAnsi="Times New Roman" w:cs="Times New Roman"/>
          <w:sz w:val="24"/>
          <w:szCs w:val="24"/>
        </w:rPr>
      </w:pPr>
      <w:r>
        <w:rPr>
          <w:rFonts w:ascii="Times New Roman" w:hAnsi="Times New Roman"/>
          <w:sz w:val="24"/>
          <w:szCs w:val="24"/>
        </w:rPr>
        <w:lastRenderedPageBreak/>
        <w:t>Sources Consulted</w:t>
      </w:r>
    </w:p>
    <w:p w14:paraId="51F15990" w14:textId="77777777" w:rsidR="008E3600" w:rsidRDefault="00BA2544">
      <w:pPr>
        <w:pStyle w:val="Body"/>
        <w:ind w:left="360" w:hanging="360"/>
      </w:pPr>
      <w:proofErr w:type="gramStart"/>
      <w:r>
        <w:t>About Blood Assurance.</w:t>
      </w:r>
      <w:proofErr w:type="gramEnd"/>
      <w:r>
        <w:t xml:space="preserve"> (n. </w:t>
      </w:r>
      <w:proofErr w:type="gramStart"/>
      <w:r>
        <w:t>d</w:t>
      </w:r>
      <w:proofErr w:type="gramEnd"/>
      <w:r>
        <w:t xml:space="preserve">.). </w:t>
      </w:r>
      <w:proofErr w:type="gramStart"/>
      <w:r>
        <w:t>Bloodassruance.org. Blood Assurance.</w:t>
      </w:r>
      <w:proofErr w:type="gramEnd"/>
      <w:r>
        <w:t xml:space="preserve"> Retrieved on Aug 11, 2015 from http://bloodassurance.org/www/docs/1017  </w:t>
      </w:r>
    </w:p>
    <w:p w14:paraId="3305DA88" w14:textId="77777777" w:rsidR="008E3600" w:rsidRDefault="008E3600">
      <w:pPr>
        <w:pStyle w:val="Body"/>
        <w:ind w:left="360" w:hanging="360"/>
      </w:pPr>
    </w:p>
    <w:p w14:paraId="029D587F" w14:textId="77777777" w:rsidR="008E3600" w:rsidRDefault="00BA2544">
      <w:pPr>
        <w:pStyle w:val="BodyA"/>
        <w:suppressAutoHyphens/>
        <w:ind w:left="360" w:hanging="360"/>
        <w:rPr>
          <w:rFonts w:ascii="Times New Roman" w:eastAsia="Times New Roman" w:hAnsi="Times New Roman" w:cs="Times New Roman"/>
          <w:sz w:val="24"/>
          <w:szCs w:val="24"/>
        </w:rPr>
      </w:pPr>
      <w:r>
        <w:rPr>
          <w:rFonts w:ascii="Times New Roman" w:hAnsi="Times New Roman"/>
          <w:sz w:val="24"/>
          <w:szCs w:val="24"/>
        </w:rPr>
        <w:t xml:space="preserve">Allen, J., &amp; Maddox, N. (1990). Segmenting Blood Donors By Their Perceptions and Awareness about Blood Donation. </w:t>
      </w:r>
      <w:proofErr w:type="gramStart"/>
      <w:r>
        <w:rPr>
          <w:rFonts w:ascii="Times New Roman" w:hAnsi="Times New Roman"/>
          <w:sz w:val="24"/>
          <w:szCs w:val="24"/>
        </w:rPr>
        <w:t>Health Marketing Quarterly, 7(1), 177.</w:t>
      </w:r>
      <w:proofErr w:type="gramEnd"/>
      <w:r>
        <w:rPr>
          <w:rFonts w:ascii="Times New Roman" w:hAnsi="Times New Roman"/>
          <w:sz w:val="24"/>
          <w:szCs w:val="24"/>
        </w:rPr>
        <w:t xml:space="preserve"> Retrieved from http://search.proquest.com/docview/205254612?accountid=9770 </w:t>
      </w:r>
    </w:p>
    <w:p w14:paraId="69589F61" w14:textId="77777777" w:rsidR="008E3600" w:rsidRDefault="008E3600">
      <w:pPr>
        <w:pStyle w:val="BodyA"/>
        <w:suppressAutoHyphens/>
        <w:ind w:left="360" w:hanging="360"/>
        <w:rPr>
          <w:rFonts w:ascii="Times New Roman" w:eastAsia="Times New Roman" w:hAnsi="Times New Roman" w:cs="Times New Roman"/>
          <w:sz w:val="24"/>
          <w:szCs w:val="24"/>
        </w:rPr>
      </w:pPr>
    </w:p>
    <w:p w14:paraId="07E742A2" w14:textId="77777777" w:rsidR="008E3600" w:rsidRDefault="00BA2544">
      <w:pPr>
        <w:pStyle w:val="BodyA"/>
        <w:suppressAutoHyphens/>
        <w:ind w:left="360" w:hanging="360"/>
        <w:rPr>
          <w:rFonts w:ascii="Times New Roman" w:eastAsia="Times New Roman" w:hAnsi="Times New Roman" w:cs="Times New Roman"/>
          <w:sz w:val="24"/>
          <w:szCs w:val="24"/>
        </w:rPr>
      </w:pPr>
      <w:proofErr w:type="gramStart"/>
      <w:r>
        <w:rPr>
          <w:rFonts w:ascii="Times New Roman" w:hAnsi="Times New Roman"/>
          <w:sz w:val="24"/>
          <w:szCs w:val="24"/>
        </w:rPr>
        <w:t xml:space="preserve">Almeida </w:t>
      </w:r>
      <w:proofErr w:type="spellStart"/>
      <w:r>
        <w:rPr>
          <w:rFonts w:ascii="Times New Roman" w:hAnsi="Times New Roman"/>
          <w:sz w:val="24"/>
          <w:szCs w:val="24"/>
        </w:rPr>
        <w:t>Neto</w:t>
      </w:r>
      <w:proofErr w:type="spellEnd"/>
      <w:r>
        <w:rPr>
          <w:rFonts w:ascii="Times New Roman" w:hAnsi="Times New Roman"/>
          <w:sz w:val="24"/>
          <w:szCs w:val="24"/>
        </w:rPr>
        <w:t>, C. D. (2011).</w:t>
      </w:r>
      <w:proofErr w:type="gramEnd"/>
      <w:r>
        <w:rPr>
          <w:rFonts w:ascii="Times New Roman" w:hAnsi="Times New Roman"/>
          <w:sz w:val="24"/>
          <w:szCs w:val="24"/>
        </w:rPr>
        <w:t xml:space="preserve"> Retention of Blood Donors: Strategies to Fulfill the Requirements of Blood Centers. </w:t>
      </w:r>
      <w:proofErr w:type="spellStart"/>
      <w:proofErr w:type="gramStart"/>
      <w:r>
        <w:rPr>
          <w:rFonts w:ascii="Times New Roman" w:hAnsi="Times New Roman"/>
          <w:sz w:val="24"/>
          <w:szCs w:val="24"/>
        </w:rPr>
        <w:t>Revista</w:t>
      </w:r>
      <w:proofErr w:type="spellEnd"/>
      <w:r>
        <w:rPr>
          <w:rFonts w:ascii="Times New Roman" w:hAnsi="Times New Roman"/>
          <w:sz w:val="24"/>
          <w:szCs w:val="24"/>
        </w:rPr>
        <w:t xml:space="preserve"> </w:t>
      </w:r>
      <w:proofErr w:type="spellStart"/>
      <w:r>
        <w:rPr>
          <w:rFonts w:ascii="Times New Roman" w:hAnsi="Times New Roman"/>
          <w:sz w:val="24"/>
          <w:szCs w:val="24"/>
        </w:rPr>
        <w:t>Brasileira</w:t>
      </w:r>
      <w:proofErr w:type="spellEnd"/>
      <w:r>
        <w:rPr>
          <w:rFonts w:ascii="Times New Roman" w:hAnsi="Times New Roman"/>
          <w:sz w:val="24"/>
          <w:szCs w:val="24"/>
        </w:rPr>
        <w:t xml:space="preserve"> de </w:t>
      </w:r>
      <w:proofErr w:type="spellStart"/>
      <w:r>
        <w:rPr>
          <w:rFonts w:ascii="Times New Roman" w:hAnsi="Times New Roman"/>
          <w:sz w:val="24"/>
          <w:szCs w:val="24"/>
        </w:rPr>
        <w:t>Hematologia</w:t>
      </w:r>
      <w:proofErr w:type="spellEnd"/>
      <w:r>
        <w:rPr>
          <w:rFonts w:ascii="Times New Roman" w:hAnsi="Times New Roman"/>
          <w:sz w:val="24"/>
          <w:szCs w:val="24"/>
        </w:rPr>
        <w:t xml:space="preserve"> e </w:t>
      </w:r>
      <w:proofErr w:type="spellStart"/>
      <w:r>
        <w:rPr>
          <w:rFonts w:ascii="Times New Roman" w:hAnsi="Times New Roman"/>
          <w:sz w:val="24"/>
          <w:szCs w:val="24"/>
        </w:rPr>
        <w:t>Hemoterapia</w:t>
      </w:r>
      <w:proofErr w:type="spellEnd"/>
      <w:r>
        <w:rPr>
          <w:rFonts w:ascii="Times New Roman" w:hAnsi="Times New Roman"/>
          <w:sz w:val="24"/>
          <w:szCs w:val="24"/>
        </w:rPr>
        <w:t>, 33(3), 174-175.</w:t>
      </w:r>
      <w:proofErr w:type="gramEnd"/>
      <w:r>
        <w:rPr>
          <w:rFonts w:ascii="Times New Roman" w:hAnsi="Times New Roman"/>
          <w:sz w:val="24"/>
          <w:szCs w:val="24"/>
        </w:rPr>
        <w:t xml:space="preserve"> Retrieved from http://www.scielo.br/scielo.php</w:t>
      </w:r>
      <w:proofErr w:type="gramStart"/>
      <w:r>
        <w:rPr>
          <w:rFonts w:ascii="Times New Roman" w:hAnsi="Times New Roman"/>
          <w:sz w:val="24"/>
          <w:szCs w:val="24"/>
        </w:rPr>
        <w:t>?pid</w:t>
      </w:r>
      <w:proofErr w:type="gramEnd"/>
      <w:r>
        <w:rPr>
          <w:rFonts w:ascii="Times New Roman" w:hAnsi="Times New Roman"/>
          <w:sz w:val="24"/>
          <w:szCs w:val="24"/>
        </w:rPr>
        <w:t xml:space="preserve">=S1516-84842011000300004&amp;script=sci_arttext&amp;tlng=pt </w:t>
      </w:r>
    </w:p>
    <w:p w14:paraId="4DF3E4AB" w14:textId="77777777" w:rsidR="008E3600" w:rsidRDefault="008E3600">
      <w:pPr>
        <w:pStyle w:val="BodyA"/>
        <w:suppressAutoHyphens/>
        <w:ind w:left="360" w:hanging="360"/>
        <w:rPr>
          <w:rFonts w:ascii="Times New Roman" w:eastAsia="Times New Roman" w:hAnsi="Times New Roman" w:cs="Times New Roman"/>
          <w:sz w:val="24"/>
          <w:szCs w:val="24"/>
        </w:rPr>
      </w:pPr>
    </w:p>
    <w:p w14:paraId="20984738" w14:textId="77777777" w:rsidR="008E3600" w:rsidRDefault="00BA2544">
      <w:pPr>
        <w:pStyle w:val="BodyA"/>
        <w:suppressAutoHyphens/>
        <w:ind w:left="360" w:hanging="360"/>
        <w:rPr>
          <w:rFonts w:ascii="Times New Roman" w:eastAsia="Times New Roman" w:hAnsi="Times New Roman" w:cs="Times New Roman"/>
          <w:sz w:val="24"/>
          <w:szCs w:val="24"/>
        </w:rPr>
      </w:pPr>
      <w:proofErr w:type="spellStart"/>
      <w:r>
        <w:rPr>
          <w:rFonts w:ascii="Times New Roman" w:hAnsi="Times New Roman"/>
          <w:sz w:val="24"/>
          <w:szCs w:val="24"/>
        </w:rPr>
        <w:t>Ajzen</w:t>
      </w:r>
      <w:proofErr w:type="spellEnd"/>
      <w:r>
        <w:rPr>
          <w:rFonts w:ascii="Times New Roman" w:hAnsi="Times New Roman"/>
          <w:sz w:val="24"/>
          <w:szCs w:val="24"/>
        </w:rPr>
        <w:t xml:space="preserve">, I. (1991). </w:t>
      </w:r>
      <w:proofErr w:type="gramStart"/>
      <w:r>
        <w:rPr>
          <w:rFonts w:ascii="Times New Roman" w:hAnsi="Times New Roman"/>
          <w:sz w:val="24"/>
          <w:szCs w:val="24"/>
        </w:rPr>
        <w:t>The Theory of Planned Behavior.</w:t>
      </w:r>
      <w:proofErr w:type="gramEnd"/>
      <w:r>
        <w:rPr>
          <w:rFonts w:ascii="Times New Roman" w:hAnsi="Times New Roman"/>
          <w:sz w:val="24"/>
          <w:szCs w:val="24"/>
        </w:rPr>
        <w:t xml:space="preserve"> Organizational Behavior and Human Decision Processes, 50(2), 179-211. Retrieved from http://link.springer.com/chapter/10.1007/978-3-642-69746-3_2</w:t>
      </w:r>
      <w:r>
        <w:rPr>
          <w:rFonts w:ascii="Times New Roman" w:eastAsia="Times New Roman" w:hAnsi="Times New Roman" w:cs="Times New Roman"/>
          <w:sz w:val="24"/>
          <w:szCs w:val="24"/>
          <w:vertAlign w:val="superscript"/>
        </w:rPr>
        <w:footnoteReference w:id="10"/>
      </w:r>
      <w:r>
        <w:rPr>
          <w:rFonts w:ascii="Times New Roman" w:hAnsi="Times New Roman"/>
          <w:sz w:val="24"/>
          <w:szCs w:val="24"/>
        </w:rPr>
        <w:t xml:space="preserve"> </w:t>
      </w:r>
    </w:p>
    <w:p w14:paraId="0CF0F3AF" w14:textId="77777777" w:rsidR="008E3600" w:rsidRDefault="008E3600">
      <w:pPr>
        <w:pStyle w:val="BodyA"/>
        <w:suppressAutoHyphens/>
        <w:ind w:left="360" w:hanging="360"/>
        <w:rPr>
          <w:rFonts w:ascii="Times New Roman" w:eastAsia="Times New Roman" w:hAnsi="Times New Roman" w:cs="Times New Roman"/>
          <w:sz w:val="24"/>
          <w:szCs w:val="24"/>
        </w:rPr>
      </w:pPr>
    </w:p>
    <w:p w14:paraId="12C126DE" w14:textId="77777777" w:rsidR="008E3600" w:rsidRDefault="00BA2544">
      <w:pPr>
        <w:pStyle w:val="BodyA"/>
        <w:suppressAutoHyphens/>
        <w:ind w:left="360" w:hanging="360"/>
        <w:rPr>
          <w:rFonts w:ascii="Times New Roman" w:eastAsia="Times New Roman" w:hAnsi="Times New Roman" w:cs="Times New Roman"/>
          <w:sz w:val="24"/>
          <w:szCs w:val="24"/>
        </w:rPr>
      </w:pPr>
      <w:proofErr w:type="gramStart"/>
      <w:r>
        <w:rPr>
          <w:rFonts w:ascii="Times New Roman" w:hAnsi="Times New Roman"/>
          <w:sz w:val="24"/>
          <w:szCs w:val="24"/>
        </w:rPr>
        <w:t>File, K. M., &amp; Prince, R. A. (1993).</w:t>
      </w:r>
      <w:proofErr w:type="gramEnd"/>
      <w:r>
        <w:rPr>
          <w:rFonts w:ascii="Times New Roman" w:hAnsi="Times New Roman"/>
          <w:sz w:val="24"/>
          <w:szCs w:val="24"/>
        </w:rPr>
        <w:t xml:space="preserve"> Evaluating the Effectiveness of Interactive Marketing. </w:t>
      </w:r>
      <w:proofErr w:type="gramStart"/>
      <w:r>
        <w:rPr>
          <w:rFonts w:ascii="Times New Roman" w:hAnsi="Times New Roman"/>
          <w:sz w:val="24"/>
          <w:szCs w:val="24"/>
        </w:rPr>
        <w:t>The Journal of Services Marketing, 7(3), 49.</w:t>
      </w:r>
      <w:proofErr w:type="gramEnd"/>
      <w:r>
        <w:rPr>
          <w:rFonts w:ascii="Times New Roman" w:hAnsi="Times New Roman"/>
          <w:sz w:val="24"/>
          <w:szCs w:val="24"/>
        </w:rPr>
        <w:t xml:space="preserve"> Retrieved from http://search.proquest.com/docview/212661805?accountid=9770 </w:t>
      </w:r>
    </w:p>
    <w:p w14:paraId="16FCBF29" w14:textId="77777777" w:rsidR="008E3600" w:rsidRDefault="008E3600">
      <w:pPr>
        <w:pStyle w:val="BodyA"/>
        <w:suppressAutoHyphens/>
        <w:ind w:left="360" w:hanging="360"/>
        <w:rPr>
          <w:rFonts w:ascii="Times New Roman" w:eastAsia="Times New Roman" w:hAnsi="Times New Roman" w:cs="Times New Roman"/>
          <w:sz w:val="24"/>
          <w:szCs w:val="24"/>
        </w:rPr>
      </w:pPr>
    </w:p>
    <w:p w14:paraId="793E3752" w14:textId="77777777" w:rsidR="008E3600" w:rsidRDefault="00BA2544">
      <w:pPr>
        <w:pStyle w:val="BodyA"/>
        <w:suppressAutoHyphens/>
        <w:ind w:left="360" w:hanging="360"/>
        <w:rPr>
          <w:rFonts w:ascii="Times New Roman" w:eastAsia="Times New Roman" w:hAnsi="Times New Roman" w:cs="Times New Roman"/>
          <w:sz w:val="24"/>
          <w:szCs w:val="24"/>
        </w:rPr>
      </w:pPr>
      <w:proofErr w:type="gramStart"/>
      <w:r>
        <w:rPr>
          <w:rFonts w:ascii="Times New Roman" w:hAnsi="Times New Roman"/>
          <w:sz w:val="24"/>
          <w:szCs w:val="24"/>
        </w:rPr>
        <w:t>Geyer, M. E. (2005).</w:t>
      </w:r>
      <w:proofErr w:type="gramEnd"/>
      <w:r>
        <w:rPr>
          <w:rFonts w:ascii="Times New Roman" w:hAnsi="Times New Roman"/>
          <w:sz w:val="24"/>
          <w:szCs w:val="24"/>
        </w:rPr>
        <w:t xml:space="preserve"> The Impact of E</w:t>
      </w:r>
      <w:r>
        <w:rPr>
          <w:rFonts w:ascii="Arial Unicode MS" w:eastAsia="Arial Unicode MS" w:hAnsi="Arial Unicode MS" w:cs="Arial Unicode MS"/>
          <w:sz w:val="24"/>
          <w:szCs w:val="24"/>
        </w:rPr>
        <w:t>‐</w:t>
      </w:r>
      <w:r>
        <w:rPr>
          <w:rFonts w:ascii="Times New Roman" w:hAnsi="Times New Roman"/>
          <w:sz w:val="24"/>
          <w:szCs w:val="24"/>
        </w:rPr>
        <w:t>mail in Acquiring and Retaining Whole</w:t>
      </w:r>
      <w:r>
        <w:rPr>
          <w:rFonts w:ascii="Arial Unicode MS" w:eastAsia="Arial Unicode MS" w:hAnsi="Arial Unicode MS" w:cs="Arial Unicode MS"/>
          <w:sz w:val="24"/>
          <w:szCs w:val="24"/>
        </w:rPr>
        <w:t>‐</w:t>
      </w:r>
      <w:r>
        <w:rPr>
          <w:rFonts w:ascii="Times New Roman" w:hAnsi="Times New Roman"/>
          <w:sz w:val="24"/>
          <w:szCs w:val="24"/>
        </w:rPr>
        <w:t>blood Donors: A Comparative Analysis of the Puget Sound Blood Center Donor E</w:t>
      </w:r>
      <w:r>
        <w:rPr>
          <w:rFonts w:ascii="Arial Unicode MS" w:eastAsia="Arial Unicode MS" w:hAnsi="Arial Unicode MS" w:cs="Arial Unicode MS"/>
          <w:sz w:val="24"/>
          <w:szCs w:val="24"/>
        </w:rPr>
        <w:t>‐</w:t>
      </w:r>
      <w:r>
        <w:rPr>
          <w:rFonts w:ascii="Times New Roman" w:hAnsi="Times New Roman"/>
          <w:sz w:val="24"/>
          <w:szCs w:val="24"/>
        </w:rPr>
        <w:t xml:space="preserve">mail Communication Program. </w:t>
      </w:r>
      <w:proofErr w:type="gramStart"/>
      <w:r>
        <w:rPr>
          <w:rFonts w:ascii="Times New Roman" w:hAnsi="Times New Roman"/>
          <w:sz w:val="24"/>
          <w:szCs w:val="24"/>
        </w:rPr>
        <w:t>Transfusion, 45(12), 1957-1964.</w:t>
      </w:r>
      <w:proofErr w:type="gramEnd"/>
      <w:r>
        <w:rPr>
          <w:rFonts w:ascii="Times New Roman" w:hAnsi="Times New Roman"/>
          <w:sz w:val="24"/>
          <w:szCs w:val="24"/>
        </w:rPr>
        <w:t xml:space="preserve"> Retrieved from http://www.ncbi.nlm.nih.gov/pubmed/16371050 </w:t>
      </w:r>
    </w:p>
    <w:p w14:paraId="62DD442A" w14:textId="77777777" w:rsidR="008E3600" w:rsidRDefault="008E3600">
      <w:pPr>
        <w:pStyle w:val="BodyA"/>
        <w:suppressAutoHyphens/>
        <w:ind w:left="360" w:hanging="360"/>
        <w:rPr>
          <w:rFonts w:ascii="Times New Roman" w:eastAsia="Times New Roman" w:hAnsi="Times New Roman" w:cs="Times New Roman"/>
          <w:sz w:val="24"/>
          <w:szCs w:val="24"/>
        </w:rPr>
      </w:pPr>
    </w:p>
    <w:p w14:paraId="5D8CF75E" w14:textId="77777777" w:rsidR="008E3600" w:rsidRDefault="00BA2544">
      <w:pPr>
        <w:pStyle w:val="BodyB"/>
        <w:suppressAutoHyphens/>
        <w:ind w:left="360" w:hanging="360"/>
      </w:pPr>
      <w:r>
        <w:t xml:space="preserve">Gillespie, T. W., &amp; </w:t>
      </w:r>
      <w:proofErr w:type="spellStart"/>
      <w:r>
        <w:t>Hillyer</w:t>
      </w:r>
      <w:proofErr w:type="spellEnd"/>
      <w:r>
        <w:t xml:space="preserve">, C. D. (2002). Blood Donors and Factors Impacting the Blood Donation Decision. Transfusion Medicine Reviews, 16(2), 115-130. </w:t>
      </w:r>
      <w:r>
        <w:rPr>
          <w:lang w:val="fr-FR"/>
        </w:rPr>
        <w:t xml:space="preserve">DOI: </w:t>
      </w:r>
      <w:r>
        <w:t xml:space="preserve">http://dx.doi.org/10.1053/tmrv.2002.31461 </w:t>
      </w:r>
    </w:p>
    <w:p w14:paraId="03FAB183" w14:textId="77777777" w:rsidR="008E3600" w:rsidRDefault="008E3600">
      <w:pPr>
        <w:pStyle w:val="BodyB"/>
        <w:suppressAutoHyphens/>
        <w:ind w:left="360" w:hanging="360"/>
      </w:pPr>
    </w:p>
    <w:p w14:paraId="43789255" w14:textId="77777777" w:rsidR="008E3600" w:rsidRDefault="00BA2544">
      <w:pPr>
        <w:pStyle w:val="BodyA"/>
        <w:suppressAutoHyphens/>
        <w:ind w:left="360" w:hanging="360"/>
        <w:rPr>
          <w:rFonts w:ascii="Times New Roman" w:eastAsia="Times New Roman" w:hAnsi="Times New Roman" w:cs="Times New Roman"/>
          <w:sz w:val="24"/>
          <w:szCs w:val="24"/>
        </w:rPr>
      </w:pPr>
      <w:proofErr w:type="spellStart"/>
      <w:r>
        <w:rPr>
          <w:rFonts w:ascii="Times New Roman" w:hAnsi="Times New Roman"/>
          <w:sz w:val="24"/>
          <w:szCs w:val="24"/>
        </w:rPr>
        <w:t>Gimble</w:t>
      </w:r>
      <w:proofErr w:type="spellEnd"/>
      <w:r>
        <w:rPr>
          <w:rFonts w:ascii="Times New Roman" w:hAnsi="Times New Roman"/>
          <w:sz w:val="24"/>
          <w:szCs w:val="24"/>
        </w:rPr>
        <w:t xml:space="preserve">, J. G., Kline, L., </w:t>
      </w:r>
      <w:proofErr w:type="spellStart"/>
      <w:r>
        <w:rPr>
          <w:rFonts w:ascii="Times New Roman" w:hAnsi="Times New Roman"/>
          <w:sz w:val="24"/>
          <w:szCs w:val="24"/>
        </w:rPr>
        <w:t>Makris</w:t>
      </w:r>
      <w:proofErr w:type="spellEnd"/>
      <w:r>
        <w:rPr>
          <w:rFonts w:ascii="Times New Roman" w:hAnsi="Times New Roman"/>
          <w:sz w:val="24"/>
          <w:szCs w:val="24"/>
        </w:rPr>
        <w:t xml:space="preserve">, N., </w:t>
      </w:r>
      <w:proofErr w:type="spellStart"/>
      <w:r>
        <w:rPr>
          <w:rFonts w:ascii="Times New Roman" w:hAnsi="Times New Roman"/>
          <w:sz w:val="24"/>
          <w:szCs w:val="24"/>
        </w:rPr>
        <w:t>Muenz</w:t>
      </w:r>
      <w:proofErr w:type="spellEnd"/>
      <w:r>
        <w:rPr>
          <w:rFonts w:ascii="Times New Roman" w:hAnsi="Times New Roman"/>
          <w:sz w:val="24"/>
          <w:szCs w:val="24"/>
        </w:rPr>
        <w:t xml:space="preserve">, L. R., &amp; Friedman, L. I. (1994). </w:t>
      </w:r>
      <w:proofErr w:type="gramStart"/>
      <w:r>
        <w:rPr>
          <w:rFonts w:ascii="Times New Roman" w:hAnsi="Times New Roman"/>
          <w:sz w:val="24"/>
          <w:szCs w:val="24"/>
        </w:rPr>
        <w:t>Effects of New Brochures on Blood Donor Recruitment and Retention.</w:t>
      </w:r>
      <w:proofErr w:type="gramEnd"/>
      <w:r>
        <w:rPr>
          <w:rFonts w:ascii="Times New Roman" w:hAnsi="Times New Roman"/>
          <w:sz w:val="24"/>
          <w:szCs w:val="24"/>
        </w:rPr>
        <w:t xml:space="preserve"> </w:t>
      </w:r>
      <w:proofErr w:type="gramStart"/>
      <w:r>
        <w:rPr>
          <w:rFonts w:ascii="Times New Roman" w:hAnsi="Times New Roman"/>
          <w:sz w:val="24"/>
          <w:szCs w:val="24"/>
        </w:rPr>
        <w:t>Transfusion, 34(7), 586-591.</w:t>
      </w:r>
      <w:proofErr w:type="gramEnd"/>
      <w:r>
        <w:rPr>
          <w:rFonts w:ascii="Times New Roman" w:hAnsi="Times New Roman"/>
          <w:sz w:val="24"/>
          <w:szCs w:val="24"/>
        </w:rPr>
        <w:t xml:space="preserve"> Retrieved from http://www.ncbi.nlm.nih.gov/pubmed/8053040 </w:t>
      </w:r>
    </w:p>
    <w:p w14:paraId="03929303" w14:textId="77777777" w:rsidR="008E3600" w:rsidRDefault="008E3600">
      <w:pPr>
        <w:pStyle w:val="BodyA"/>
        <w:suppressAutoHyphens/>
        <w:ind w:left="360" w:hanging="360"/>
        <w:rPr>
          <w:rFonts w:ascii="Times New Roman" w:eastAsia="Times New Roman" w:hAnsi="Times New Roman" w:cs="Times New Roman"/>
          <w:sz w:val="24"/>
          <w:szCs w:val="24"/>
        </w:rPr>
      </w:pPr>
    </w:p>
    <w:p w14:paraId="291E7C2F" w14:textId="77777777" w:rsidR="008E3600" w:rsidRDefault="00BA2544">
      <w:pPr>
        <w:pStyle w:val="BodyA"/>
        <w:suppressAutoHyphens/>
        <w:ind w:left="360" w:hanging="360"/>
        <w:rPr>
          <w:rFonts w:ascii="Times New Roman" w:eastAsia="Times New Roman" w:hAnsi="Times New Roman" w:cs="Times New Roman"/>
          <w:sz w:val="24"/>
          <w:szCs w:val="24"/>
        </w:rPr>
      </w:pPr>
      <w:proofErr w:type="gramStart"/>
      <w:r>
        <w:rPr>
          <w:rFonts w:ascii="Times New Roman" w:hAnsi="Times New Roman"/>
          <w:sz w:val="24"/>
          <w:szCs w:val="24"/>
        </w:rPr>
        <w:t xml:space="preserve">Godin, G., Conner, M., </w:t>
      </w:r>
      <w:proofErr w:type="spellStart"/>
      <w:r>
        <w:rPr>
          <w:rFonts w:ascii="Times New Roman" w:hAnsi="Times New Roman"/>
          <w:sz w:val="24"/>
          <w:szCs w:val="24"/>
        </w:rPr>
        <w:t>Sheeran</w:t>
      </w:r>
      <w:proofErr w:type="spellEnd"/>
      <w:r>
        <w:rPr>
          <w:rFonts w:ascii="Times New Roman" w:hAnsi="Times New Roman"/>
          <w:sz w:val="24"/>
          <w:szCs w:val="24"/>
        </w:rPr>
        <w:t xml:space="preserve">, P., </w:t>
      </w:r>
      <w:proofErr w:type="spellStart"/>
      <w:r>
        <w:rPr>
          <w:rFonts w:ascii="Times New Roman" w:hAnsi="Times New Roman"/>
          <w:sz w:val="24"/>
          <w:szCs w:val="24"/>
        </w:rPr>
        <w:t>Bélanger</w:t>
      </w:r>
      <w:proofErr w:type="spellEnd"/>
      <w:r>
        <w:rPr>
          <w:rFonts w:ascii="Arial Unicode MS" w:eastAsia="Arial Unicode MS" w:hAnsi="Arial Unicode MS" w:cs="Arial Unicode MS"/>
          <w:sz w:val="24"/>
          <w:szCs w:val="24"/>
        </w:rPr>
        <w:t>‐</w:t>
      </w:r>
      <w:r>
        <w:rPr>
          <w:rFonts w:ascii="Times New Roman" w:hAnsi="Times New Roman"/>
          <w:sz w:val="24"/>
          <w:szCs w:val="24"/>
        </w:rPr>
        <w:t xml:space="preserve">Gravel, A., &amp; </w:t>
      </w:r>
      <w:proofErr w:type="spellStart"/>
      <w:r>
        <w:rPr>
          <w:rFonts w:ascii="Times New Roman" w:hAnsi="Times New Roman"/>
          <w:sz w:val="24"/>
          <w:szCs w:val="24"/>
        </w:rPr>
        <w:t>Germain</w:t>
      </w:r>
      <w:proofErr w:type="spellEnd"/>
      <w:r>
        <w:rPr>
          <w:rFonts w:ascii="Times New Roman" w:hAnsi="Times New Roman"/>
          <w:sz w:val="24"/>
          <w:szCs w:val="24"/>
        </w:rPr>
        <w:t>, M. (2007).</w:t>
      </w:r>
      <w:proofErr w:type="gramEnd"/>
      <w:r>
        <w:rPr>
          <w:rFonts w:ascii="Times New Roman" w:hAnsi="Times New Roman"/>
          <w:sz w:val="24"/>
          <w:szCs w:val="24"/>
        </w:rPr>
        <w:t xml:space="preserve"> Determinants of Repeated Blood Donation </w:t>
      </w:r>
      <w:proofErr w:type="gramStart"/>
      <w:r>
        <w:rPr>
          <w:rFonts w:ascii="Times New Roman" w:hAnsi="Times New Roman"/>
          <w:sz w:val="24"/>
          <w:szCs w:val="24"/>
        </w:rPr>
        <w:t>Among</w:t>
      </w:r>
      <w:proofErr w:type="gramEnd"/>
      <w:r>
        <w:rPr>
          <w:rFonts w:ascii="Times New Roman" w:hAnsi="Times New Roman"/>
          <w:sz w:val="24"/>
          <w:szCs w:val="24"/>
        </w:rPr>
        <w:t xml:space="preserve"> New and Experienced Blood Donors. </w:t>
      </w:r>
      <w:proofErr w:type="gramStart"/>
      <w:r>
        <w:rPr>
          <w:rFonts w:ascii="Times New Roman" w:hAnsi="Times New Roman"/>
          <w:sz w:val="24"/>
          <w:szCs w:val="24"/>
        </w:rPr>
        <w:t>Transfusion, 47(9), 1607-1615.</w:t>
      </w:r>
      <w:proofErr w:type="gramEnd"/>
      <w:r>
        <w:rPr>
          <w:rFonts w:ascii="Times New Roman" w:hAnsi="Times New Roman"/>
          <w:sz w:val="24"/>
          <w:szCs w:val="24"/>
        </w:rPr>
        <w:t xml:space="preserve"> Retrieved from http://onlinelibrary.wiley.com/doi/10.1111/j.1537-2995.2007.01331.x/abstract </w:t>
      </w:r>
    </w:p>
    <w:p w14:paraId="118EE35B" w14:textId="77777777" w:rsidR="008E3600" w:rsidRDefault="008E3600">
      <w:pPr>
        <w:pStyle w:val="BodyA"/>
        <w:suppressAutoHyphens/>
        <w:ind w:left="360" w:hanging="360"/>
        <w:rPr>
          <w:rFonts w:ascii="Times New Roman" w:eastAsia="Times New Roman" w:hAnsi="Times New Roman" w:cs="Times New Roman"/>
          <w:sz w:val="24"/>
          <w:szCs w:val="24"/>
        </w:rPr>
      </w:pPr>
    </w:p>
    <w:p w14:paraId="31B4CA17" w14:textId="77777777" w:rsidR="008E3600" w:rsidRDefault="00BA2544">
      <w:pPr>
        <w:pStyle w:val="BodyA"/>
        <w:suppressAutoHyphens/>
        <w:ind w:left="360" w:hanging="360"/>
        <w:rPr>
          <w:rFonts w:ascii="Times New Roman" w:eastAsia="Times New Roman" w:hAnsi="Times New Roman" w:cs="Times New Roman"/>
          <w:sz w:val="24"/>
          <w:szCs w:val="24"/>
        </w:rPr>
      </w:pPr>
      <w:proofErr w:type="spellStart"/>
      <w:proofErr w:type="gramStart"/>
      <w:r>
        <w:rPr>
          <w:rFonts w:ascii="Times New Roman" w:hAnsi="Times New Roman"/>
          <w:sz w:val="24"/>
          <w:szCs w:val="24"/>
        </w:rPr>
        <w:lastRenderedPageBreak/>
        <w:t>Hassouna</w:t>
      </w:r>
      <w:proofErr w:type="spellEnd"/>
      <w:r>
        <w:rPr>
          <w:rFonts w:ascii="Times New Roman" w:hAnsi="Times New Roman"/>
          <w:sz w:val="24"/>
          <w:szCs w:val="24"/>
        </w:rPr>
        <w:t xml:space="preserve">, M., </w:t>
      </w:r>
      <w:proofErr w:type="spellStart"/>
      <w:r>
        <w:rPr>
          <w:rFonts w:ascii="Times New Roman" w:hAnsi="Times New Roman"/>
          <w:sz w:val="24"/>
          <w:szCs w:val="24"/>
        </w:rPr>
        <w:t>Tarhini</w:t>
      </w:r>
      <w:proofErr w:type="spellEnd"/>
      <w:r>
        <w:rPr>
          <w:rFonts w:ascii="Times New Roman" w:hAnsi="Times New Roman"/>
          <w:sz w:val="24"/>
          <w:szCs w:val="24"/>
        </w:rPr>
        <w:t xml:space="preserve">, A., </w:t>
      </w:r>
      <w:proofErr w:type="spellStart"/>
      <w:r>
        <w:rPr>
          <w:rFonts w:ascii="Times New Roman" w:hAnsi="Times New Roman"/>
          <w:sz w:val="24"/>
          <w:szCs w:val="24"/>
        </w:rPr>
        <w:t>Elyas</w:t>
      </w:r>
      <w:proofErr w:type="spellEnd"/>
      <w:r>
        <w:rPr>
          <w:rFonts w:ascii="Times New Roman" w:hAnsi="Times New Roman"/>
          <w:sz w:val="24"/>
          <w:szCs w:val="24"/>
        </w:rPr>
        <w:t xml:space="preserve">, T., &amp; </w:t>
      </w:r>
      <w:proofErr w:type="spellStart"/>
      <w:r>
        <w:rPr>
          <w:rFonts w:ascii="Times New Roman" w:hAnsi="Times New Roman"/>
          <w:sz w:val="24"/>
          <w:szCs w:val="24"/>
        </w:rPr>
        <w:t>AbouTrab</w:t>
      </w:r>
      <w:proofErr w:type="spellEnd"/>
      <w:r>
        <w:rPr>
          <w:rFonts w:ascii="Times New Roman" w:hAnsi="Times New Roman"/>
          <w:sz w:val="24"/>
          <w:szCs w:val="24"/>
        </w:rPr>
        <w:t>, M. S. (2015).</w:t>
      </w:r>
      <w:proofErr w:type="gramEnd"/>
      <w:r>
        <w:rPr>
          <w:rFonts w:ascii="Times New Roman" w:hAnsi="Times New Roman"/>
          <w:sz w:val="24"/>
          <w:szCs w:val="24"/>
        </w:rPr>
        <w:t xml:space="preserve"> Customer Churn in Mobile Markets: A Comparison of Techniques. </w:t>
      </w:r>
      <w:proofErr w:type="gramStart"/>
      <w:r>
        <w:rPr>
          <w:rFonts w:ascii="Times New Roman" w:hAnsi="Times New Roman"/>
          <w:sz w:val="24"/>
          <w:szCs w:val="24"/>
        </w:rPr>
        <w:t>International Business Research, 8(6), 224-237.</w:t>
      </w:r>
      <w:proofErr w:type="gramEnd"/>
      <w:r>
        <w:rPr>
          <w:rFonts w:ascii="Times New Roman" w:hAnsi="Times New Roman"/>
          <w:sz w:val="24"/>
          <w:szCs w:val="24"/>
        </w:rPr>
        <w:t xml:space="preserve"> Retrieved from http://search.proquest.com/docview/1691291497?accountid=9770 </w:t>
      </w:r>
    </w:p>
    <w:p w14:paraId="7FB99863" w14:textId="77777777" w:rsidR="008E3600" w:rsidRDefault="008E3600">
      <w:pPr>
        <w:pStyle w:val="BodyA"/>
        <w:suppressAutoHyphens/>
        <w:ind w:left="360" w:hanging="360"/>
        <w:rPr>
          <w:rFonts w:ascii="Times New Roman" w:eastAsia="Times New Roman" w:hAnsi="Times New Roman" w:cs="Times New Roman"/>
          <w:sz w:val="24"/>
          <w:szCs w:val="24"/>
        </w:rPr>
      </w:pPr>
    </w:p>
    <w:p w14:paraId="0E180B79" w14:textId="77777777" w:rsidR="008E3600" w:rsidRDefault="00BA2544">
      <w:pPr>
        <w:pStyle w:val="BodyA"/>
        <w:suppressAutoHyphens/>
        <w:ind w:left="360" w:hanging="360"/>
        <w:rPr>
          <w:rFonts w:ascii="Times New Roman" w:eastAsia="Times New Roman" w:hAnsi="Times New Roman" w:cs="Times New Roman"/>
          <w:sz w:val="24"/>
          <w:szCs w:val="24"/>
        </w:rPr>
      </w:pPr>
      <w:proofErr w:type="spellStart"/>
      <w:r>
        <w:rPr>
          <w:rFonts w:ascii="Times New Roman" w:hAnsi="Times New Roman"/>
          <w:sz w:val="24"/>
          <w:szCs w:val="24"/>
        </w:rPr>
        <w:t>Iacobucci</w:t>
      </w:r>
      <w:proofErr w:type="spellEnd"/>
      <w:r>
        <w:rPr>
          <w:rFonts w:ascii="Times New Roman" w:hAnsi="Times New Roman"/>
          <w:sz w:val="24"/>
          <w:szCs w:val="24"/>
        </w:rPr>
        <w:t>, Dawn. (2013)</w:t>
      </w:r>
      <w:proofErr w:type="gramStart"/>
      <w:r>
        <w:rPr>
          <w:rFonts w:ascii="Times New Roman" w:hAnsi="Times New Roman"/>
          <w:sz w:val="24"/>
          <w:szCs w:val="24"/>
        </w:rPr>
        <w:t>. MM 4.</w:t>
      </w:r>
      <w:proofErr w:type="gramEnd"/>
      <w:r>
        <w:rPr>
          <w:rFonts w:ascii="Times New Roman" w:hAnsi="Times New Roman"/>
          <w:sz w:val="24"/>
          <w:szCs w:val="24"/>
        </w:rPr>
        <w:t xml:space="preserve"> </w:t>
      </w:r>
      <w:proofErr w:type="spellStart"/>
      <w:r>
        <w:rPr>
          <w:rFonts w:ascii="Times New Roman" w:hAnsi="Times New Roman"/>
          <w:sz w:val="24"/>
          <w:szCs w:val="24"/>
        </w:rPr>
        <w:t>Cengage</w:t>
      </w:r>
      <w:proofErr w:type="spellEnd"/>
      <w:r>
        <w:rPr>
          <w:rFonts w:ascii="Times New Roman" w:hAnsi="Times New Roman"/>
          <w:sz w:val="24"/>
          <w:szCs w:val="24"/>
        </w:rPr>
        <w:t xml:space="preserve"> Learning. </w:t>
      </w:r>
    </w:p>
    <w:p w14:paraId="4B7CDE06" w14:textId="77777777" w:rsidR="008E3600" w:rsidRDefault="008E3600">
      <w:pPr>
        <w:pStyle w:val="BodyA"/>
        <w:suppressAutoHyphens/>
        <w:ind w:left="360" w:hanging="360"/>
        <w:rPr>
          <w:rFonts w:ascii="Times New Roman" w:eastAsia="Times New Roman" w:hAnsi="Times New Roman" w:cs="Times New Roman"/>
          <w:sz w:val="24"/>
          <w:szCs w:val="24"/>
        </w:rPr>
      </w:pPr>
    </w:p>
    <w:p w14:paraId="105E6772" w14:textId="77777777" w:rsidR="008E3600" w:rsidRDefault="00BA2544">
      <w:pPr>
        <w:pStyle w:val="BodyA"/>
        <w:suppressAutoHyphens/>
        <w:ind w:left="360" w:hanging="360"/>
        <w:rPr>
          <w:rFonts w:ascii="Times New Roman" w:eastAsia="Times New Roman" w:hAnsi="Times New Roman" w:cs="Times New Roman"/>
          <w:sz w:val="24"/>
          <w:szCs w:val="24"/>
        </w:rPr>
      </w:pPr>
      <w:r>
        <w:rPr>
          <w:rFonts w:ascii="Times New Roman" w:hAnsi="Times New Roman"/>
          <w:sz w:val="24"/>
          <w:szCs w:val="24"/>
        </w:rPr>
        <w:t xml:space="preserve">Lejeune, Miguel A. P. M. (2001). Measuring the Impact of Data Mining on Churn Management. </w:t>
      </w:r>
      <w:proofErr w:type="gramStart"/>
      <w:r>
        <w:rPr>
          <w:rFonts w:ascii="Times New Roman" w:hAnsi="Times New Roman"/>
          <w:sz w:val="24"/>
          <w:szCs w:val="24"/>
        </w:rPr>
        <w:t>Internet Research, 11(5), 375-387.</w:t>
      </w:r>
      <w:proofErr w:type="gramEnd"/>
      <w:r>
        <w:rPr>
          <w:rFonts w:ascii="Times New Roman" w:hAnsi="Times New Roman"/>
          <w:sz w:val="24"/>
          <w:szCs w:val="24"/>
        </w:rPr>
        <w:t xml:space="preserve"> Retrieved from http://search.proquest.com/docview/219853145?accountid=9770 </w:t>
      </w:r>
    </w:p>
    <w:p w14:paraId="10B33D09" w14:textId="77777777" w:rsidR="008E3600" w:rsidRDefault="008E3600">
      <w:pPr>
        <w:pStyle w:val="BodyA"/>
        <w:suppressAutoHyphens/>
        <w:ind w:left="360" w:hanging="360"/>
        <w:rPr>
          <w:rFonts w:ascii="Times New Roman" w:eastAsia="Times New Roman" w:hAnsi="Times New Roman" w:cs="Times New Roman"/>
          <w:sz w:val="24"/>
          <w:szCs w:val="24"/>
        </w:rPr>
      </w:pPr>
    </w:p>
    <w:p w14:paraId="473933B9" w14:textId="77777777" w:rsidR="008E3600" w:rsidRDefault="00BA2544">
      <w:pPr>
        <w:pStyle w:val="BodyB"/>
        <w:suppressAutoHyphens/>
        <w:ind w:left="360" w:hanging="360"/>
      </w:pPr>
      <w:proofErr w:type="spellStart"/>
      <w:r>
        <w:rPr>
          <w:lang w:val="pt-PT"/>
        </w:rPr>
        <w:t>Lourenç</w:t>
      </w:r>
      <w:proofErr w:type="spellEnd"/>
      <w:r>
        <w:t xml:space="preserve">on, A. D. F., Almeida, R. G. D. S., Ferreira, O., &amp; Martinez, E. Z. (2011). </w:t>
      </w:r>
      <w:proofErr w:type="gramStart"/>
      <w:r>
        <w:t>Evaluation of the Return Rate of Volunteer Blood Donors.</w:t>
      </w:r>
      <w:proofErr w:type="gramEnd"/>
      <w:r>
        <w:t xml:space="preserve"> </w:t>
      </w:r>
      <w:proofErr w:type="spellStart"/>
      <w:proofErr w:type="gramStart"/>
      <w:r>
        <w:t>Revista</w:t>
      </w:r>
      <w:proofErr w:type="spellEnd"/>
      <w:r>
        <w:t xml:space="preserve"> </w:t>
      </w:r>
      <w:proofErr w:type="spellStart"/>
      <w:r>
        <w:t>Brasileira</w:t>
      </w:r>
      <w:proofErr w:type="spellEnd"/>
      <w:r>
        <w:t xml:space="preserve"> de </w:t>
      </w:r>
      <w:proofErr w:type="spellStart"/>
      <w:r>
        <w:t>Hematologia</w:t>
      </w:r>
      <w:proofErr w:type="spellEnd"/>
      <w:r>
        <w:t xml:space="preserve"> e </w:t>
      </w:r>
      <w:proofErr w:type="spellStart"/>
      <w:r>
        <w:t>Hemoterapia</w:t>
      </w:r>
      <w:proofErr w:type="spellEnd"/>
      <w:r>
        <w:t>, 33(3), 190-194.</w:t>
      </w:r>
      <w:proofErr w:type="gramEnd"/>
    </w:p>
    <w:p w14:paraId="7882158C" w14:textId="77777777" w:rsidR="008E3600" w:rsidRDefault="008E3600">
      <w:pPr>
        <w:pStyle w:val="BodyB"/>
        <w:suppressAutoHyphens/>
        <w:ind w:left="360" w:hanging="360"/>
      </w:pPr>
    </w:p>
    <w:p w14:paraId="318197CB" w14:textId="77777777" w:rsidR="008E3600" w:rsidRDefault="00BA2544">
      <w:pPr>
        <w:pStyle w:val="BodyA"/>
        <w:suppressAutoHyphens/>
        <w:ind w:left="360" w:hanging="360"/>
        <w:rPr>
          <w:rFonts w:ascii="Times New Roman" w:eastAsia="Times New Roman" w:hAnsi="Times New Roman" w:cs="Times New Roman"/>
          <w:sz w:val="24"/>
          <w:szCs w:val="24"/>
        </w:rPr>
      </w:pPr>
      <w:proofErr w:type="spellStart"/>
      <w:proofErr w:type="gramStart"/>
      <w:r>
        <w:rPr>
          <w:rFonts w:ascii="Times New Roman" w:hAnsi="Times New Roman"/>
          <w:sz w:val="24"/>
          <w:szCs w:val="24"/>
        </w:rPr>
        <w:t>Masser</w:t>
      </w:r>
      <w:proofErr w:type="spellEnd"/>
      <w:r>
        <w:rPr>
          <w:rFonts w:ascii="Times New Roman" w:hAnsi="Times New Roman"/>
          <w:sz w:val="24"/>
          <w:szCs w:val="24"/>
        </w:rPr>
        <w:t xml:space="preserve">, B. M., </w:t>
      </w:r>
      <w:proofErr w:type="spellStart"/>
      <w:r>
        <w:rPr>
          <w:rFonts w:ascii="Times New Roman" w:hAnsi="Times New Roman"/>
          <w:sz w:val="24"/>
          <w:szCs w:val="24"/>
        </w:rPr>
        <w:t>Bednall</w:t>
      </w:r>
      <w:proofErr w:type="spellEnd"/>
      <w:r>
        <w:rPr>
          <w:rFonts w:ascii="Times New Roman" w:hAnsi="Times New Roman"/>
          <w:sz w:val="24"/>
          <w:szCs w:val="24"/>
        </w:rPr>
        <w:t>, T. C., White, K. M., &amp; Terry, D. (2012).</w:t>
      </w:r>
      <w:proofErr w:type="gramEnd"/>
      <w:r>
        <w:rPr>
          <w:rFonts w:ascii="Times New Roman" w:hAnsi="Times New Roman"/>
          <w:sz w:val="24"/>
          <w:szCs w:val="24"/>
        </w:rPr>
        <w:t xml:space="preserve"> Predicting the Retention of First</w:t>
      </w:r>
      <w:r>
        <w:rPr>
          <w:rFonts w:ascii="Arial Unicode MS" w:eastAsia="Arial Unicode MS" w:hAnsi="Arial Unicode MS" w:cs="Arial Unicode MS"/>
          <w:sz w:val="24"/>
          <w:szCs w:val="24"/>
        </w:rPr>
        <w:t>‐</w:t>
      </w:r>
      <w:r>
        <w:rPr>
          <w:rFonts w:ascii="Times New Roman" w:hAnsi="Times New Roman"/>
          <w:sz w:val="24"/>
          <w:szCs w:val="24"/>
        </w:rPr>
        <w:t xml:space="preserve">time Donors Using an Extended Theory of Planned Behavior. </w:t>
      </w:r>
      <w:proofErr w:type="gramStart"/>
      <w:r>
        <w:rPr>
          <w:rFonts w:ascii="Times New Roman" w:hAnsi="Times New Roman"/>
          <w:sz w:val="24"/>
          <w:szCs w:val="24"/>
        </w:rPr>
        <w:t>Transfusion, 52(6), 1303-1310.</w:t>
      </w:r>
      <w:proofErr w:type="gramEnd"/>
      <w:r>
        <w:rPr>
          <w:rFonts w:ascii="Times New Roman" w:hAnsi="Times New Roman"/>
          <w:sz w:val="24"/>
          <w:szCs w:val="24"/>
        </w:rPr>
        <w:t xml:space="preserve"> Retrieved from http://www.ncbi.nlm.nih.gov/pubmed/22257135 </w:t>
      </w:r>
    </w:p>
    <w:p w14:paraId="53A90B01" w14:textId="77777777" w:rsidR="008E3600" w:rsidRDefault="008E3600">
      <w:pPr>
        <w:pStyle w:val="BodyA"/>
        <w:suppressAutoHyphens/>
        <w:ind w:left="360" w:hanging="360"/>
        <w:rPr>
          <w:rFonts w:ascii="Times New Roman" w:eastAsia="Times New Roman" w:hAnsi="Times New Roman" w:cs="Times New Roman"/>
          <w:sz w:val="24"/>
          <w:szCs w:val="24"/>
        </w:rPr>
      </w:pPr>
    </w:p>
    <w:p w14:paraId="1718116A" w14:textId="77777777" w:rsidR="008E3600" w:rsidRDefault="00BA2544">
      <w:pPr>
        <w:pStyle w:val="BodyA"/>
        <w:suppressAutoHyphens/>
        <w:ind w:left="360" w:hanging="360"/>
        <w:rPr>
          <w:rFonts w:ascii="Times New Roman" w:eastAsia="Times New Roman" w:hAnsi="Times New Roman" w:cs="Times New Roman"/>
          <w:sz w:val="24"/>
          <w:szCs w:val="24"/>
        </w:rPr>
      </w:pPr>
      <w:r>
        <w:rPr>
          <w:rFonts w:ascii="Times New Roman" w:hAnsi="Times New Roman"/>
          <w:sz w:val="24"/>
          <w:szCs w:val="24"/>
        </w:rPr>
        <w:t xml:space="preserve">Miguel, A. P. M. L. (2001). Measuring the Impact of Data Mining on Churn Management. </w:t>
      </w:r>
      <w:proofErr w:type="gramStart"/>
      <w:r>
        <w:rPr>
          <w:rFonts w:ascii="Times New Roman" w:hAnsi="Times New Roman"/>
          <w:sz w:val="24"/>
          <w:szCs w:val="24"/>
        </w:rPr>
        <w:t>Internet Research, 11(5), 375-387.</w:t>
      </w:r>
      <w:proofErr w:type="gramEnd"/>
      <w:r>
        <w:rPr>
          <w:rFonts w:ascii="Times New Roman" w:hAnsi="Times New Roman"/>
          <w:sz w:val="24"/>
          <w:szCs w:val="24"/>
        </w:rPr>
        <w:t xml:space="preserve"> Retrieved from http://search.proquest.com/docview/219853145?accountid=9770 </w:t>
      </w:r>
    </w:p>
    <w:p w14:paraId="1160C024" w14:textId="77777777" w:rsidR="008E3600" w:rsidRDefault="008E3600">
      <w:pPr>
        <w:pStyle w:val="BodyA"/>
        <w:suppressAutoHyphens/>
        <w:ind w:left="360" w:hanging="360"/>
        <w:rPr>
          <w:rFonts w:ascii="Times New Roman" w:eastAsia="Times New Roman" w:hAnsi="Times New Roman" w:cs="Times New Roman"/>
          <w:sz w:val="24"/>
          <w:szCs w:val="24"/>
        </w:rPr>
      </w:pPr>
    </w:p>
    <w:p w14:paraId="47B7D422" w14:textId="77777777" w:rsidR="008E3600" w:rsidRDefault="00BA2544">
      <w:pPr>
        <w:pStyle w:val="BodyA"/>
        <w:suppressAutoHyphens/>
        <w:ind w:left="360" w:hanging="360"/>
        <w:rPr>
          <w:rFonts w:ascii="Times New Roman" w:eastAsia="Times New Roman" w:hAnsi="Times New Roman" w:cs="Times New Roman"/>
          <w:sz w:val="24"/>
          <w:szCs w:val="24"/>
        </w:rPr>
      </w:pPr>
      <w:proofErr w:type="spellStart"/>
      <w:r>
        <w:rPr>
          <w:rFonts w:ascii="Times New Roman" w:hAnsi="Times New Roman"/>
          <w:sz w:val="24"/>
          <w:szCs w:val="24"/>
        </w:rPr>
        <w:t>Nonis</w:t>
      </w:r>
      <w:proofErr w:type="spellEnd"/>
      <w:r>
        <w:rPr>
          <w:rFonts w:ascii="Times New Roman" w:hAnsi="Times New Roman"/>
          <w:sz w:val="24"/>
          <w:szCs w:val="24"/>
        </w:rPr>
        <w:t xml:space="preserve">, S. A., Ford, C. W., Logan, L., &amp; Hudson, G. (1996). College Student's Blood Donation Behavior: Relationship to Demographics, Perceived Risk, and Incentives. </w:t>
      </w:r>
      <w:proofErr w:type="gramStart"/>
      <w:r>
        <w:rPr>
          <w:rFonts w:ascii="Times New Roman" w:hAnsi="Times New Roman"/>
          <w:sz w:val="24"/>
          <w:szCs w:val="24"/>
        </w:rPr>
        <w:t>Health Marketing Quarterly, 13(4), 33.</w:t>
      </w:r>
      <w:proofErr w:type="gramEnd"/>
      <w:r>
        <w:rPr>
          <w:rFonts w:ascii="Times New Roman" w:hAnsi="Times New Roman"/>
          <w:sz w:val="24"/>
          <w:szCs w:val="24"/>
        </w:rPr>
        <w:t xml:space="preserve"> Retrieved from http://search.proquest.com/docview/205254959?accountid=9770 </w:t>
      </w:r>
    </w:p>
    <w:p w14:paraId="7251F8E3" w14:textId="77777777" w:rsidR="008E3600" w:rsidRDefault="008E3600">
      <w:pPr>
        <w:pStyle w:val="BodyA"/>
        <w:suppressAutoHyphens/>
        <w:ind w:left="360" w:hanging="360"/>
        <w:rPr>
          <w:rFonts w:ascii="Times New Roman" w:eastAsia="Times New Roman" w:hAnsi="Times New Roman" w:cs="Times New Roman"/>
          <w:sz w:val="24"/>
          <w:szCs w:val="24"/>
        </w:rPr>
      </w:pPr>
    </w:p>
    <w:p w14:paraId="4DC602D1" w14:textId="77777777" w:rsidR="008E3600" w:rsidRDefault="00BA2544">
      <w:pPr>
        <w:pStyle w:val="BodyB"/>
        <w:suppressAutoHyphens/>
        <w:ind w:left="360" w:hanging="360"/>
      </w:pPr>
      <w:proofErr w:type="spellStart"/>
      <w:proofErr w:type="gramStart"/>
      <w:r>
        <w:t>Ownby</w:t>
      </w:r>
      <w:proofErr w:type="spellEnd"/>
      <w:r>
        <w:t xml:space="preserve">, H. E., Kong, F., Watanabe, K., </w:t>
      </w:r>
      <w:proofErr w:type="spellStart"/>
      <w:r>
        <w:t>Tu</w:t>
      </w:r>
      <w:proofErr w:type="spellEnd"/>
      <w:r>
        <w:t xml:space="preserve">, Y., &amp; </w:t>
      </w:r>
      <w:proofErr w:type="spellStart"/>
      <w:r>
        <w:t>Nass</w:t>
      </w:r>
      <w:proofErr w:type="spellEnd"/>
      <w:r>
        <w:t>, C. C. (1999).</w:t>
      </w:r>
      <w:proofErr w:type="gramEnd"/>
      <w:r>
        <w:t xml:space="preserve"> </w:t>
      </w:r>
      <w:proofErr w:type="gramStart"/>
      <w:r>
        <w:t>Analysis of Donor Return Behavior.</w:t>
      </w:r>
      <w:proofErr w:type="gramEnd"/>
      <w:r>
        <w:t xml:space="preserve"> </w:t>
      </w:r>
      <w:proofErr w:type="gramStart"/>
      <w:r>
        <w:t>Transfusion, 39(10), 1128-1135.</w:t>
      </w:r>
      <w:proofErr w:type="gramEnd"/>
    </w:p>
    <w:p w14:paraId="4066EA8F" w14:textId="77777777" w:rsidR="008E3600" w:rsidRDefault="008E3600">
      <w:pPr>
        <w:pStyle w:val="BodyB"/>
        <w:suppressAutoHyphens/>
        <w:ind w:left="360" w:hanging="360"/>
      </w:pPr>
    </w:p>
    <w:p w14:paraId="47415999" w14:textId="77777777" w:rsidR="008E3600" w:rsidRDefault="00BA2544">
      <w:pPr>
        <w:pStyle w:val="BodyB"/>
        <w:suppressAutoHyphens/>
        <w:ind w:left="360" w:hanging="360"/>
      </w:pPr>
      <w:r>
        <w:t xml:space="preserve">Schreiber, G. B., Sharma, U. K., Wright, D. J., Glynn, S. A., </w:t>
      </w:r>
      <w:proofErr w:type="spellStart"/>
      <w:r>
        <w:t>Ownby</w:t>
      </w:r>
      <w:proofErr w:type="spellEnd"/>
      <w:r>
        <w:t xml:space="preserve">, H. E., </w:t>
      </w:r>
      <w:proofErr w:type="spellStart"/>
      <w:r>
        <w:t>Tu</w:t>
      </w:r>
      <w:proofErr w:type="spellEnd"/>
      <w:r>
        <w:t xml:space="preserve">, Y., ... &amp; </w:t>
      </w:r>
      <w:proofErr w:type="spellStart"/>
      <w:r>
        <w:t>Gilcher</w:t>
      </w:r>
      <w:proofErr w:type="spellEnd"/>
      <w:r>
        <w:t xml:space="preserve">, R. (2005). </w:t>
      </w:r>
      <w:proofErr w:type="gramStart"/>
      <w:r>
        <w:t>First Year Donation Patterns Predict Long</w:t>
      </w:r>
      <w:r>
        <w:rPr>
          <w:rFonts w:ascii="Arial Unicode MS" w:hAnsi="Arial Unicode MS"/>
        </w:rPr>
        <w:t>‐</w:t>
      </w:r>
      <w:r>
        <w:t>term Commitment for First</w:t>
      </w:r>
      <w:r>
        <w:rPr>
          <w:rFonts w:ascii="Arial Unicode MS" w:hAnsi="Arial Unicode MS"/>
        </w:rPr>
        <w:t>‐</w:t>
      </w:r>
      <w:r>
        <w:rPr>
          <w:lang w:val="it-IT"/>
        </w:rPr>
        <w:t xml:space="preserve">time </w:t>
      </w:r>
      <w:proofErr w:type="spellStart"/>
      <w:r>
        <w:rPr>
          <w:lang w:val="it-IT"/>
        </w:rPr>
        <w:t>Donors</w:t>
      </w:r>
      <w:proofErr w:type="spellEnd"/>
      <w:r>
        <w:rPr>
          <w:lang w:val="it-IT"/>
        </w:rPr>
        <w:t>.</w:t>
      </w:r>
      <w:proofErr w:type="gramEnd"/>
      <w:r>
        <w:rPr>
          <w:lang w:val="it-IT"/>
        </w:rPr>
        <w:t xml:space="preserve"> </w:t>
      </w:r>
      <w:proofErr w:type="spellStart"/>
      <w:r>
        <w:rPr>
          <w:lang w:val="it-IT"/>
        </w:rPr>
        <w:t>Vox</w:t>
      </w:r>
      <w:proofErr w:type="spellEnd"/>
      <w:r>
        <w:rPr>
          <w:lang w:val="it-IT"/>
        </w:rPr>
        <w:t xml:space="preserve"> </w:t>
      </w:r>
      <w:proofErr w:type="spellStart"/>
      <w:r>
        <w:rPr>
          <w:lang w:val="it-IT"/>
        </w:rPr>
        <w:t>Sanguinis</w:t>
      </w:r>
      <w:proofErr w:type="spellEnd"/>
      <w:r>
        <w:rPr>
          <w:lang w:val="it-IT"/>
        </w:rPr>
        <w:t>, 88(2), 114-121.</w:t>
      </w:r>
    </w:p>
    <w:p w14:paraId="311720C5" w14:textId="77777777" w:rsidR="008E3600" w:rsidRDefault="008E3600">
      <w:pPr>
        <w:pStyle w:val="BodyB"/>
        <w:suppressAutoHyphens/>
        <w:ind w:left="360" w:hanging="360"/>
      </w:pPr>
    </w:p>
    <w:p w14:paraId="5F50E567" w14:textId="77777777" w:rsidR="008E3600" w:rsidRDefault="00BA2544">
      <w:pPr>
        <w:pStyle w:val="BodyB"/>
        <w:suppressAutoHyphens/>
        <w:ind w:left="360" w:hanging="360"/>
      </w:pPr>
      <w:r>
        <w:t xml:space="preserve">Schreiber, G. B., </w:t>
      </w:r>
      <w:proofErr w:type="spellStart"/>
      <w:r>
        <w:t>Schlumpf</w:t>
      </w:r>
      <w:proofErr w:type="spellEnd"/>
      <w:r>
        <w:t xml:space="preserve">, K. S., Glynn, S. A., Wright, D. J., </w:t>
      </w:r>
      <w:proofErr w:type="spellStart"/>
      <w:r>
        <w:t>Tu</w:t>
      </w:r>
      <w:proofErr w:type="spellEnd"/>
      <w:r>
        <w:t xml:space="preserve">, Y., King, M. R., ... &amp; </w:t>
      </w:r>
      <w:proofErr w:type="spellStart"/>
      <w:r>
        <w:t>Guiltinan</w:t>
      </w:r>
      <w:proofErr w:type="spellEnd"/>
      <w:r>
        <w:t xml:space="preserve">, A. M. (2006). </w:t>
      </w:r>
      <w:proofErr w:type="gramStart"/>
      <w:r>
        <w:t>Convenience, the Bane of our Existence, and Other Barriers to Donating.</w:t>
      </w:r>
      <w:proofErr w:type="gramEnd"/>
      <w:r>
        <w:t xml:space="preserve"> </w:t>
      </w:r>
      <w:proofErr w:type="gramStart"/>
      <w:r>
        <w:t>Transfusion, 46(4), 545-553.</w:t>
      </w:r>
      <w:proofErr w:type="gramEnd"/>
    </w:p>
    <w:p w14:paraId="3D7D9754" w14:textId="77777777" w:rsidR="008E3600" w:rsidRDefault="008E3600">
      <w:pPr>
        <w:pStyle w:val="BodyB"/>
        <w:suppressAutoHyphens/>
        <w:ind w:left="360" w:hanging="360"/>
      </w:pPr>
    </w:p>
    <w:p w14:paraId="16235579" w14:textId="77777777" w:rsidR="008E3600" w:rsidRDefault="00BA2544">
      <w:pPr>
        <w:pStyle w:val="BodyA"/>
        <w:suppressAutoHyphens/>
        <w:ind w:left="360" w:hanging="360"/>
        <w:rPr>
          <w:rFonts w:ascii="Times New Roman" w:eastAsia="Times New Roman" w:hAnsi="Times New Roman" w:cs="Times New Roman"/>
          <w:sz w:val="24"/>
          <w:szCs w:val="24"/>
        </w:rPr>
      </w:pPr>
      <w:proofErr w:type="gramStart"/>
      <w:r>
        <w:rPr>
          <w:rFonts w:ascii="Times New Roman" w:hAnsi="Times New Roman"/>
          <w:sz w:val="24"/>
          <w:szCs w:val="24"/>
        </w:rPr>
        <w:t>Snyder, N. (2001).</w:t>
      </w:r>
      <w:proofErr w:type="gramEnd"/>
      <w:r>
        <w:rPr>
          <w:rFonts w:ascii="Times New Roman" w:hAnsi="Times New Roman"/>
          <w:sz w:val="24"/>
          <w:szCs w:val="24"/>
        </w:rPr>
        <w:t xml:space="preserve"> Maximizing ROI with Yield Management. </w:t>
      </w:r>
      <w:proofErr w:type="gramStart"/>
      <w:r>
        <w:rPr>
          <w:rFonts w:ascii="Times New Roman" w:hAnsi="Times New Roman"/>
          <w:sz w:val="24"/>
          <w:szCs w:val="24"/>
        </w:rPr>
        <w:t>Telecommunications Americas, 35(3), 71-72.</w:t>
      </w:r>
      <w:proofErr w:type="gramEnd"/>
      <w:r>
        <w:rPr>
          <w:rFonts w:ascii="Times New Roman" w:hAnsi="Times New Roman"/>
          <w:sz w:val="24"/>
          <w:szCs w:val="24"/>
        </w:rPr>
        <w:t xml:space="preserve"> Retrieved from http://search.proquest.com/docview/210561140?accountid=9770 </w:t>
      </w:r>
    </w:p>
    <w:p w14:paraId="6492C245" w14:textId="77777777" w:rsidR="008E3600" w:rsidRDefault="008E3600">
      <w:pPr>
        <w:pStyle w:val="BodyA"/>
        <w:suppressAutoHyphens/>
        <w:ind w:left="360" w:hanging="360"/>
        <w:rPr>
          <w:rFonts w:ascii="Times New Roman" w:eastAsia="Times New Roman" w:hAnsi="Times New Roman" w:cs="Times New Roman"/>
          <w:sz w:val="24"/>
          <w:szCs w:val="24"/>
        </w:rPr>
      </w:pPr>
    </w:p>
    <w:p w14:paraId="6D33BD8F" w14:textId="77777777" w:rsidR="008E3600" w:rsidRDefault="00BA2544">
      <w:pPr>
        <w:pStyle w:val="BodyA"/>
        <w:suppressAutoHyphens/>
        <w:ind w:left="360" w:hanging="360"/>
        <w:rPr>
          <w:rFonts w:ascii="Times New Roman" w:eastAsia="Times New Roman" w:hAnsi="Times New Roman" w:cs="Times New Roman"/>
          <w:sz w:val="24"/>
          <w:szCs w:val="24"/>
        </w:rPr>
      </w:pPr>
      <w:r>
        <w:rPr>
          <w:rFonts w:ascii="Times New Roman" w:hAnsi="Times New Roman"/>
          <w:sz w:val="24"/>
          <w:szCs w:val="24"/>
        </w:rPr>
        <w:t xml:space="preserve">Sharma, R. (2011). </w:t>
      </w:r>
      <w:proofErr w:type="gramStart"/>
      <w:r>
        <w:rPr>
          <w:rFonts w:ascii="Times New Roman" w:hAnsi="Times New Roman"/>
          <w:sz w:val="24"/>
          <w:szCs w:val="24"/>
        </w:rPr>
        <w:t>Psychosocial Profiling of Blood Donors and Assessing Source of Awareness of Blood Donation Through a Blood Donation Camp at a Medical College, Ahmadabad, Gujarat.</w:t>
      </w:r>
      <w:proofErr w:type="gramEnd"/>
      <w:r>
        <w:rPr>
          <w:rFonts w:ascii="Times New Roman" w:hAnsi="Times New Roman"/>
          <w:sz w:val="24"/>
          <w:szCs w:val="24"/>
        </w:rPr>
        <w:t xml:space="preserve"> </w:t>
      </w:r>
      <w:proofErr w:type="gramStart"/>
      <w:r>
        <w:rPr>
          <w:rFonts w:ascii="Times New Roman" w:hAnsi="Times New Roman"/>
          <w:sz w:val="24"/>
          <w:szCs w:val="24"/>
        </w:rPr>
        <w:t>Asian Journal of Transfusion Science, 5(2), 183-184.</w:t>
      </w:r>
      <w:proofErr w:type="gramEnd"/>
      <w:r>
        <w:rPr>
          <w:rFonts w:ascii="Times New Roman" w:hAnsi="Times New Roman"/>
          <w:sz w:val="24"/>
          <w:szCs w:val="24"/>
        </w:rPr>
        <w:t xml:space="preserve"> </w:t>
      </w:r>
      <w:proofErr w:type="spellStart"/>
      <w:proofErr w:type="gramStart"/>
      <w:r>
        <w:rPr>
          <w:rFonts w:ascii="Times New Roman" w:hAnsi="Times New Roman"/>
          <w:sz w:val="24"/>
          <w:szCs w:val="24"/>
        </w:rPr>
        <w:t>doi:http</w:t>
      </w:r>
      <w:proofErr w:type="spellEnd"/>
      <w:proofErr w:type="gramEnd"/>
      <w:r>
        <w:rPr>
          <w:rFonts w:ascii="Times New Roman" w:hAnsi="Times New Roman"/>
          <w:sz w:val="24"/>
          <w:szCs w:val="24"/>
        </w:rPr>
        <w:t xml:space="preserve">://dx.doi.org/10.4103/0973-6247.83259 </w:t>
      </w:r>
    </w:p>
    <w:p w14:paraId="74FC17C0" w14:textId="77777777" w:rsidR="008E3600" w:rsidRDefault="008E3600">
      <w:pPr>
        <w:pStyle w:val="BodyA"/>
        <w:suppressAutoHyphens/>
        <w:ind w:left="360" w:hanging="360"/>
        <w:rPr>
          <w:rFonts w:ascii="Times New Roman" w:eastAsia="Times New Roman" w:hAnsi="Times New Roman" w:cs="Times New Roman"/>
          <w:sz w:val="24"/>
          <w:szCs w:val="24"/>
        </w:rPr>
      </w:pPr>
    </w:p>
    <w:p w14:paraId="062803E2" w14:textId="77777777" w:rsidR="008E3600" w:rsidRDefault="00BA2544">
      <w:pPr>
        <w:pStyle w:val="BodyA"/>
        <w:suppressAutoHyphens/>
        <w:ind w:left="360" w:hanging="360"/>
        <w:rPr>
          <w:rFonts w:ascii="Times New Roman" w:eastAsia="Times New Roman" w:hAnsi="Times New Roman" w:cs="Times New Roman"/>
          <w:sz w:val="24"/>
          <w:szCs w:val="24"/>
        </w:rPr>
      </w:pPr>
      <w:proofErr w:type="spellStart"/>
      <w:r>
        <w:rPr>
          <w:rFonts w:ascii="Times New Roman" w:hAnsi="Times New Roman"/>
          <w:sz w:val="24"/>
          <w:szCs w:val="24"/>
        </w:rPr>
        <w:t>Strouse</w:t>
      </w:r>
      <w:proofErr w:type="spellEnd"/>
      <w:r>
        <w:rPr>
          <w:rFonts w:ascii="Times New Roman" w:hAnsi="Times New Roman"/>
          <w:sz w:val="24"/>
          <w:szCs w:val="24"/>
        </w:rPr>
        <w:t xml:space="preserve">, Karen G. (1999). Marketing Telecommunications Services: New Approaches for a Changing Environment. </w:t>
      </w:r>
      <w:proofErr w:type="spellStart"/>
      <w:proofErr w:type="gramStart"/>
      <w:r>
        <w:rPr>
          <w:rFonts w:ascii="Times New Roman" w:hAnsi="Times New Roman"/>
          <w:sz w:val="24"/>
          <w:szCs w:val="24"/>
        </w:rPr>
        <w:t>Artech</w:t>
      </w:r>
      <w:proofErr w:type="spellEnd"/>
      <w:r>
        <w:rPr>
          <w:rFonts w:ascii="Times New Roman" w:hAnsi="Times New Roman"/>
          <w:sz w:val="24"/>
          <w:szCs w:val="24"/>
        </w:rPr>
        <w:t xml:space="preserve"> House Publishers.</w:t>
      </w:r>
      <w:proofErr w:type="gramEnd"/>
    </w:p>
    <w:p w14:paraId="4829B491" w14:textId="77777777" w:rsidR="008E3600" w:rsidRDefault="008E3600">
      <w:pPr>
        <w:pStyle w:val="BodyA"/>
        <w:suppressAutoHyphens/>
        <w:ind w:left="360" w:hanging="360"/>
        <w:rPr>
          <w:rFonts w:ascii="Times New Roman" w:eastAsia="Times New Roman" w:hAnsi="Times New Roman" w:cs="Times New Roman"/>
          <w:sz w:val="24"/>
          <w:szCs w:val="24"/>
        </w:rPr>
      </w:pPr>
    </w:p>
    <w:p w14:paraId="0300F2C0" w14:textId="77777777" w:rsidR="008E3600" w:rsidRDefault="00BA2544">
      <w:pPr>
        <w:pStyle w:val="BodyA"/>
        <w:suppressAutoHyphens/>
        <w:ind w:left="360" w:hanging="360"/>
        <w:rPr>
          <w:rFonts w:ascii="Times New Roman" w:eastAsia="Times New Roman" w:hAnsi="Times New Roman" w:cs="Times New Roman"/>
          <w:sz w:val="24"/>
          <w:szCs w:val="24"/>
        </w:rPr>
      </w:pPr>
      <w:proofErr w:type="gramStart"/>
      <w:r>
        <w:rPr>
          <w:rFonts w:ascii="Times New Roman" w:hAnsi="Times New Roman"/>
          <w:sz w:val="24"/>
          <w:szCs w:val="24"/>
        </w:rPr>
        <w:t xml:space="preserve">Wei-Chao, L., </w:t>
      </w:r>
      <w:proofErr w:type="spellStart"/>
      <w:r>
        <w:rPr>
          <w:rFonts w:ascii="Times New Roman" w:hAnsi="Times New Roman"/>
          <w:sz w:val="24"/>
          <w:szCs w:val="24"/>
        </w:rPr>
        <w:t>Chih</w:t>
      </w:r>
      <w:proofErr w:type="spellEnd"/>
      <w:r>
        <w:rPr>
          <w:rFonts w:ascii="Times New Roman" w:hAnsi="Times New Roman"/>
          <w:sz w:val="24"/>
          <w:szCs w:val="24"/>
        </w:rPr>
        <w:t>-Fong Tsai, &amp; Shih-Wen, K. (2014).</w:t>
      </w:r>
      <w:proofErr w:type="gramEnd"/>
      <w:r>
        <w:rPr>
          <w:rFonts w:ascii="Times New Roman" w:hAnsi="Times New Roman"/>
          <w:sz w:val="24"/>
          <w:szCs w:val="24"/>
        </w:rPr>
        <w:t xml:space="preserve"> </w:t>
      </w:r>
      <w:proofErr w:type="gramStart"/>
      <w:r>
        <w:rPr>
          <w:rFonts w:ascii="Times New Roman" w:hAnsi="Times New Roman"/>
          <w:sz w:val="24"/>
          <w:szCs w:val="24"/>
        </w:rPr>
        <w:t>Dimensionality and Data Reduction in Telecom Churn Prediction.</w:t>
      </w:r>
      <w:proofErr w:type="gramEnd"/>
      <w:r>
        <w:rPr>
          <w:rFonts w:ascii="Times New Roman" w:hAnsi="Times New Roman"/>
          <w:sz w:val="24"/>
          <w:szCs w:val="24"/>
        </w:rPr>
        <w:t xml:space="preserve"> </w:t>
      </w:r>
      <w:proofErr w:type="spellStart"/>
      <w:proofErr w:type="gramStart"/>
      <w:r>
        <w:rPr>
          <w:rFonts w:ascii="Times New Roman" w:hAnsi="Times New Roman"/>
          <w:sz w:val="24"/>
          <w:szCs w:val="24"/>
        </w:rPr>
        <w:t>Kybernetes</w:t>
      </w:r>
      <w:proofErr w:type="spellEnd"/>
      <w:r>
        <w:rPr>
          <w:rFonts w:ascii="Times New Roman" w:hAnsi="Times New Roman"/>
          <w:sz w:val="24"/>
          <w:szCs w:val="24"/>
        </w:rPr>
        <w:t>, 43(5), 737-749.</w:t>
      </w:r>
      <w:proofErr w:type="gramEnd"/>
      <w:r>
        <w:rPr>
          <w:rFonts w:ascii="Times New Roman" w:hAnsi="Times New Roman"/>
          <w:sz w:val="24"/>
          <w:szCs w:val="24"/>
        </w:rPr>
        <w:t xml:space="preserve"> </w:t>
      </w:r>
      <w:proofErr w:type="spellStart"/>
      <w:proofErr w:type="gramStart"/>
      <w:r>
        <w:rPr>
          <w:rFonts w:ascii="Times New Roman" w:hAnsi="Times New Roman"/>
          <w:sz w:val="24"/>
          <w:szCs w:val="24"/>
        </w:rPr>
        <w:t>doi:http</w:t>
      </w:r>
      <w:proofErr w:type="spellEnd"/>
      <w:proofErr w:type="gramEnd"/>
      <w:r>
        <w:rPr>
          <w:rFonts w:ascii="Times New Roman" w:hAnsi="Times New Roman"/>
          <w:sz w:val="24"/>
          <w:szCs w:val="24"/>
        </w:rPr>
        <w:t xml:space="preserve">://dx.doi.org/10.1108/K-03-2013-0045 </w:t>
      </w:r>
    </w:p>
    <w:p w14:paraId="566D5B95" w14:textId="77777777" w:rsidR="008E3600" w:rsidRDefault="008E3600">
      <w:pPr>
        <w:pStyle w:val="BodyA"/>
        <w:suppressAutoHyphens/>
        <w:ind w:left="360" w:hanging="360"/>
        <w:rPr>
          <w:rFonts w:ascii="Times New Roman" w:eastAsia="Times New Roman" w:hAnsi="Times New Roman" w:cs="Times New Roman"/>
          <w:sz w:val="24"/>
          <w:szCs w:val="24"/>
        </w:rPr>
      </w:pPr>
    </w:p>
    <w:p w14:paraId="3C5F46F0" w14:textId="77777777" w:rsidR="008E3600" w:rsidRDefault="00BA2544">
      <w:pPr>
        <w:pStyle w:val="BodyA"/>
        <w:suppressAutoHyphens/>
        <w:ind w:left="360" w:hanging="360"/>
      </w:pPr>
      <w:r>
        <w:rPr>
          <w:rFonts w:ascii="Times New Roman" w:hAnsi="Times New Roman"/>
          <w:sz w:val="24"/>
          <w:szCs w:val="24"/>
        </w:rPr>
        <w:t xml:space="preserve">Wu, Y., Glynn, S. A., Schreiber, G. B., Wright, D. J., Lo, A., Murphy, E. L., ... &amp; </w:t>
      </w:r>
      <w:proofErr w:type="spellStart"/>
      <w:r>
        <w:rPr>
          <w:rFonts w:ascii="Times New Roman" w:hAnsi="Times New Roman"/>
          <w:sz w:val="24"/>
          <w:szCs w:val="24"/>
        </w:rPr>
        <w:t>Garratty</w:t>
      </w:r>
      <w:proofErr w:type="spellEnd"/>
      <w:r>
        <w:rPr>
          <w:rFonts w:ascii="Times New Roman" w:hAnsi="Times New Roman"/>
          <w:sz w:val="24"/>
          <w:szCs w:val="24"/>
        </w:rPr>
        <w:t>, G. (2001). First</w:t>
      </w:r>
      <w:r>
        <w:rPr>
          <w:rFonts w:ascii="Arial Unicode MS" w:eastAsia="Arial Unicode MS" w:hAnsi="Arial Unicode MS" w:cs="Arial Unicode MS"/>
          <w:sz w:val="24"/>
          <w:szCs w:val="24"/>
        </w:rPr>
        <w:t>‐</w:t>
      </w:r>
      <w:r>
        <w:rPr>
          <w:rFonts w:ascii="Times New Roman" w:hAnsi="Times New Roman"/>
          <w:sz w:val="24"/>
          <w:szCs w:val="24"/>
        </w:rPr>
        <w:t xml:space="preserve">time Blood Donors: Demographic Trends. </w:t>
      </w:r>
      <w:proofErr w:type="gramStart"/>
      <w:r>
        <w:rPr>
          <w:rFonts w:ascii="Times New Roman" w:hAnsi="Times New Roman"/>
          <w:sz w:val="24"/>
          <w:szCs w:val="24"/>
        </w:rPr>
        <w:t>Transfusion, 41(3), 360-364.</w:t>
      </w:r>
      <w:proofErr w:type="gramEnd"/>
      <w:r>
        <w:rPr>
          <w:rFonts w:ascii="Times New Roman" w:hAnsi="Times New Roman"/>
          <w:sz w:val="24"/>
          <w:szCs w:val="24"/>
        </w:rPr>
        <w:t xml:space="preserve"> Retrieved from http://www.ncbi.nlm.nih.gov/pubmed/11274590 </w:t>
      </w:r>
    </w:p>
    <w:sectPr w:rsidR="008E3600">
      <w:headerReference w:type="default" r:id="rId9"/>
      <w:footerReference w:type="default" r:id="rId10"/>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ABC96A" w14:textId="77777777" w:rsidR="00360968" w:rsidRDefault="00360968">
      <w:r>
        <w:separator/>
      </w:r>
    </w:p>
  </w:endnote>
  <w:endnote w:type="continuationSeparator" w:id="0">
    <w:p w14:paraId="4C28B6FB" w14:textId="77777777" w:rsidR="00360968" w:rsidRDefault="003609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A24C9B" w14:textId="77777777" w:rsidR="00360968" w:rsidRDefault="00360968">
    <w:pPr>
      <w:pStyle w:val="Header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29D3D8" w14:textId="77777777" w:rsidR="00360968" w:rsidRDefault="00360968">
      <w:r>
        <w:separator/>
      </w:r>
    </w:p>
  </w:footnote>
  <w:footnote w:type="continuationSeparator" w:id="0">
    <w:p w14:paraId="2AE08F70" w14:textId="77777777" w:rsidR="00360968" w:rsidRDefault="00360968">
      <w:r>
        <w:continuationSeparator/>
      </w:r>
    </w:p>
  </w:footnote>
  <w:footnote w:type="continuationNotice" w:id="1">
    <w:p w14:paraId="7E9DBBAE" w14:textId="77777777" w:rsidR="00360968" w:rsidRDefault="00360968"/>
  </w:footnote>
  <w:footnote w:id="2">
    <w:p w14:paraId="06D94F87" w14:textId="77777777" w:rsidR="00360968" w:rsidRDefault="00360968">
      <w:pPr>
        <w:pStyle w:val="Footnote"/>
      </w:pPr>
      <w:r>
        <w:rPr>
          <w:vertAlign w:val="superscript"/>
        </w:rPr>
        <w:footnoteRef/>
      </w:r>
      <w:r>
        <w:rPr>
          <w:rFonts w:ascii="Times New Roman" w:hAnsi="Times New Roman"/>
          <w:sz w:val="24"/>
          <w:szCs w:val="24"/>
        </w:rPr>
        <w:t xml:space="preserve"> https://translate.google.com/translate</w:t>
      </w:r>
      <w:proofErr w:type="gramStart"/>
      <w:r>
        <w:rPr>
          <w:rFonts w:ascii="Times New Roman" w:hAnsi="Times New Roman"/>
          <w:sz w:val="24"/>
          <w:szCs w:val="24"/>
        </w:rPr>
        <w:t>?hl</w:t>
      </w:r>
      <w:proofErr w:type="gramEnd"/>
      <w:r>
        <w:rPr>
          <w:rFonts w:ascii="Times New Roman" w:hAnsi="Times New Roman"/>
          <w:sz w:val="24"/>
          <w:szCs w:val="24"/>
        </w:rPr>
        <w:t xml:space="preserve">=en&amp;sl=pt&amp;u=http://www.escavador.com/pessoas/2337999&amp;prev=search. </w:t>
      </w:r>
    </w:p>
  </w:footnote>
  <w:footnote w:id="3">
    <w:p w14:paraId="59CCA5DD" w14:textId="77777777" w:rsidR="00360968" w:rsidRDefault="00360968">
      <w:pPr>
        <w:pStyle w:val="Footnote"/>
      </w:pPr>
      <w:r>
        <w:rPr>
          <w:vertAlign w:val="superscript"/>
        </w:rPr>
        <w:footnoteRef/>
      </w:r>
      <w:r>
        <w:rPr>
          <w:rFonts w:ascii="Times New Roman" w:hAnsi="Times New Roman"/>
          <w:sz w:val="24"/>
          <w:szCs w:val="24"/>
        </w:rPr>
        <w:t xml:space="preserve"> https://translate.google.com/translate</w:t>
      </w:r>
      <w:proofErr w:type="gramStart"/>
      <w:r>
        <w:rPr>
          <w:rFonts w:ascii="Times New Roman" w:hAnsi="Times New Roman"/>
          <w:sz w:val="24"/>
          <w:szCs w:val="24"/>
        </w:rPr>
        <w:t>?hl</w:t>
      </w:r>
      <w:proofErr w:type="gramEnd"/>
      <w:r>
        <w:rPr>
          <w:rFonts w:ascii="Times New Roman" w:hAnsi="Times New Roman"/>
          <w:sz w:val="24"/>
          <w:szCs w:val="24"/>
        </w:rPr>
        <w:t>=en&amp;sl=pt&amp;u=http://www.pbe.uem.br/%3Fpage_id%3D930&amp;prev=search.</w:t>
      </w:r>
    </w:p>
  </w:footnote>
  <w:footnote w:id="4">
    <w:p w14:paraId="1B03F57D" w14:textId="77777777" w:rsidR="00360968" w:rsidRDefault="00360968">
      <w:pPr>
        <w:pStyle w:val="Footnote"/>
      </w:pPr>
      <w:r>
        <w:rPr>
          <w:vertAlign w:val="superscript"/>
        </w:rPr>
        <w:footnoteRef/>
      </w:r>
      <w:r>
        <w:rPr>
          <w:rFonts w:ascii="Times New Roman" w:hAnsi="Times New Roman"/>
          <w:sz w:val="24"/>
          <w:szCs w:val="24"/>
          <w:lang w:val="pt-PT"/>
        </w:rPr>
        <w:t xml:space="preserve"> </w:t>
      </w:r>
      <w:r>
        <w:rPr>
          <w:rFonts w:ascii="Times New Roman" w:hAnsi="Times New Roman"/>
          <w:sz w:val="24"/>
          <w:szCs w:val="24"/>
          <w:lang w:val="pt-PT"/>
        </w:rPr>
        <w:t>https://translate.google.com/translate?hl=en&amp;sl=pt&amp;u=http://www.escavador.com/pessoas/3994943&amp;prev=search</w:t>
      </w:r>
      <w:r>
        <w:rPr>
          <w:rFonts w:ascii="Times New Roman" w:hAnsi="Times New Roman"/>
          <w:sz w:val="24"/>
          <w:szCs w:val="24"/>
        </w:rPr>
        <w:t>.</w:t>
      </w:r>
    </w:p>
  </w:footnote>
  <w:footnote w:id="5">
    <w:p w14:paraId="01ED8CF6" w14:textId="77777777" w:rsidR="00360968" w:rsidRDefault="00360968">
      <w:pPr>
        <w:pStyle w:val="Footnote"/>
      </w:pPr>
      <w:r>
        <w:rPr>
          <w:vertAlign w:val="superscript"/>
        </w:rPr>
        <w:footnoteRef/>
      </w:r>
      <w:r>
        <w:rPr>
          <w:rFonts w:ascii="Times New Roman" w:hAnsi="Times New Roman"/>
          <w:sz w:val="24"/>
          <w:szCs w:val="24"/>
          <w:lang w:val="pt-PT"/>
        </w:rPr>
        <w:t xml:space="preserve"> </w:t>
      </w:r>
      <w:r>
        <w:rPr>
          <w:rFonts w:ascii="Times New Roman" w:hAnsi="Times New Roman"/>
          <w:sz w:val="24"/>
          <w:szCs w:val="24"/>
          <w:lang w:val="pt-PT"/>
        </w:rPr>
        <w:t>https://translate.google.com/translate?hl=en&amp;sl=pt&amp;u=http://www.escavador.com/pessoas/1017138&amp;prev=search</w:t>
      </w:r>
      <w:r>
        <w:rPr>
          <w:rFonts w:ascii="Times New Roman" w:hAnsi="Times New Roman"/>
          <w:sz w:val="24"/>
          <w:szCs w:val="24"/>
        </w:rPr>
        <w:t>.</w:t>
      </w:r>
    </w:p>
  </w:footnote>
  <w:footnote w:id="6">
    <w:p w14:paraId="114576F6" w14:textId="77777777" w:rsidR="00360968" w:rsidRDefault="00360968">
      <w:pPr>
        <w:pStyle w:val="Footnote"/>
      </w:pPr>
      <w:r>
        <w:rPr>
          <w:rFonts w:ascii="Times New Roman" w:eastAsia="Times New Roman" w:hAnsi="Times New Roman" w:cs="Times New Roman"/>
          <w:vertAlign w:val="superscript"/>
        </w:rPr>
        <w:footnoteRef/>
      </w:r>
      <w:r>
        <w:rPr>
          <w:rFonts w:ascii="Times New Roman" w:hAnsi="Times New Roman"/>
        </w:rPr>
        <w:t xml:space="preserve"> </w:t>
      </w:r>
      <w:r>
        <w:rPr>
          <w:rFonts w:ascii="Times New Roman" w:hAnsi="Times New Roman"/>
          <w:sz w:val="24"/>
          <w:szCs w:val="24"/>
        </w:rPr>
        <w:t>Based on information from the US Census tallied at USA.com.</w:t>
      </w:r>
    </w:p>
  </w:footnote>
  <w:footnote w:id="7">
    <w:p w14:paraId="30F17AAF" w14:textId="77777777" w:rsidR="00360968" w:rsidRDefault="00360968">
      <w:pPr>
        <w:pStyle w:val="Footnote"/>
      </w:pPr>
      <w:r>
        <w:rPr>
          <w:rFonts w:ascii="Times New Roman" w:eastAsia="Times New Roman" w:hAnsi="Times New Roman" w:cs="Times New Roman"/>
          <w:vertAlign w:val="superscript"/>
        </w:rPr>
        <w:footnoteRef/>
      </w:r>
      <w:r>
        <w:rPr>
          <w:rFonts w:ascii="Times New Roman" w:hAnsi="Times New Roman"/>
        </w:rPr>
        <w:t xml:space="preserve"> </w:t>
      </w:r>
      <w:r>
        <w:rPr>
          <w:rFonts w:ascii="Times New Roman" w:hAnsi="Times New Roman"/>
          <w:sz w:val="24"/>
          <w:szCs w:val="24"/>
        </w:rPr>
        <w:t xml:space="preserve">Data accessed from BBIMS database via CRM </w:t>
      </w:r>
      <w:proofErr w:type="spellStart"/>
      <w:r>
        <w:rPr>
          <w:rFonts w:ascii="Times New Roman" w:hAnsi="Times New Roman"/>
          <w:sz w:val="24"/>
          <w:szCs w:val="24"/>
        </w:rPr>
        <w:t>HemaConnect</w:t>
      </w:r>
      <w:proofErr w:type="spellEnd"/>
      <w:r>
        <w:rPr>
          <w:rFonts w:ascii="Times New Roman" w:hAnsi="Times New Roman"/>
          <w:sz w:val="24"/>
          <w:szCs w:val="24"/>
        </w:rPr>
        <w:t xml:space="preserve">. (I am the Data Administrator for </w:t>
      </w:r>
      <w:proofErr w:type="spellStart"/>
      <w:r>
        <w:rPr>
          <w:rFonts w:ascii="Times New Roman" w:hAnsi="Times New Roman"/>
          <w:sz w:val="24"/>
          <w:szCs w:val="24"/>
        </w:rPr>
        <w:t>HemaConnect</w:t>
      </w:r>
      <w:proofErr w:type="spellEnd"/>
      <w:r>
        <w:rPr>
          <w:rFonts w:ascii="Times New Roman" w:hAnsi="Times New Roman"/>
          <w:sz w:val="24"/>
          <w:szCs w:val="24"/>
        </w:rPr>
        <w:t xml:space="preserve"> at Blood Assurance).</w:t>
      </w:r>
    </w:p>
  </w:footnote>
  <w:footnote w:id="8">
    <w:p w14:paraId="3AFC68B6" w14:textId="77777777" w:rsidR="00360968" w:rsidRDefault="00360968">
      <w:pPr>
        <w:pStyle w:val="Footnote"/>
      </w:pPr>
      <w:r>
        <w:rPr>
          <w:rFonts w:ascii="Times New Roman" w:eastAsia="Times New Roman" w:hAnsi="Times New Roman" w:cs="Times New Roman"/>
          <w:sz w:val="24"/>
          <w:szCs w:val="24"/>
          <w:vertAlign w:val="superscript"/>
        </w:rPr>
        <w:footnoteRef/>
      </w:r>
      <w:r>
        <w:rPr>
          <w:rFonts w:ascii="Times New Roman" w:hAnsi="Times New Roman"/>
          <w:sz w:val="24"/>
          <w:szCs w:val="24"/>
        </w:rPr>
        <w:t xml:space="preserve"> http://www.bloomberg.com/research/stocks/private/person.asp</w:t>
      </w:r>
      <w:proofErr w:type="gramStart"/>
      <w:r>
        <w:rPr>
          <w:rFonts w:ascii="Times New Roman" w:hAnsi="Times New Roman"/>
          <w:sz w:val="24"/>
          <w:szCs w:val="24"/>
        </w:rPr>
        <w:t>?personId</w:t>
      </w:r>
      <w:proofErr w:type="gramEnd"/>
      <w:r>
        <w:rPr>
          <w:rFonts w:ascii="Times New Roman" w:hAnsi="Times New Roman"/>
          <w:sz w:val="24"/>
          <w:szCs w:val="24"/>
        </w:rPr>
        <w:t xml:space="preserve">=22354306&amp;privcapId=4299041&amp;previousCapId=4299041&amp;previousTitle=Puget%2520Sound%2520Blood%2520Center. </w:t>
      </w:r>
    </w:p>
  </w:footnote>
  <w:footnote w:id="9">
    <w:p w14:paraId="0049DF7E" w14:textId="77777777" w:rsidR="00360968" w:rsidRDefault="00360968">
      <w:pPr>
        <w:pStyle w:val="Footnote"/>
      </w:pPr>
      <w:r>
        <w:rPr>
          <w:rFonts w:ascii="Times New Roman" w:eastAsia="Times New Roman" w:hAnsi="Times New Roman" w:cs="Times New Roman"/>
          <w:sz w:val="24"/>
          <w:szCs w:val="24"/>
          <w:vertAlign w:val="superscript"/>
        </w:rPr>
        <w:footnoteRef/>
      </w:r>
      <w:r>
        <w:rPr>
          <w:rFonts w:ascii="Times New Roman" w:hAnsi="Times New Roman"/>
          <w:sz w:val="24"/>
          <w:szCs w:val="24"/>
        </w:rPr>
        <w:t xml:space="preserve"> Found on school biography. http://business.gwu.edu/profiles/miguel-lejeune/ </w:t>
      </w:r>
    </w:p>
  </w:footnote>
  <w:footnote w:id="10">
    <w:p w14:paraId="2D0FA24B" w14:textId="77777777" w:rsidR="00360968" w:rsidRDefault="00360968">
      <w:pPr>
        <w:pStyle w:val="Footnote"/>
      </w:pPr>
      <w:r>
        <w:rPr>
          <w:rFonts w:ascii="Times New Roman" w:eastAsia="Times New Roman" w:hAnsi="Times New Roman" w:cs="Times New Roman"/>
          <w:sz w:val="24"/>
          <w:szCs w:val="24"/>
          <w:vertAlign w:val="superscript"/>
        </w:rPr>
        <w:footnoteRef/>
      </w:r>
      <w:r>
        <w:rPr>
          <w:rFonts w:ascii="Times New Roman" w:hAnsi="Times New Roman"/>
          <w:sz w:val="24"/>
          <w:szCs w:val="24"/>
        </w:rPr>
        <w:t xml:space="preserve"> The website allows a preview of the first two pages which include </w:t>
      </w:r>
      <w:proofErr w:type="spellStart"/>
      <w:r>
        <w:rPr>
          <w:rFonts w:ascii="Times New Roman" w:hAnsi="Times New Roman"/>
          <w:sz w:val="24"/>
          <w:szCs w:val="24"/>
        </w:rPr>
        <w:t>Ajzen’s</w:t>
      </w:r>
      <w:proofErr w:type="spellEnd"/>
      <w:r>
        <w:rPr>
          <w:rFonts w:ascii="Times New Roman" w:hAnsi="Times New Roman"/>
          <w:sz w:val="24"/>
          <w:szCs w:val="24"/>
        </w:rPr>
        <w:t xml:space="preserve"> referencing blood donation as a volitional behavior that can be predictions with the theory of planned behavior.</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EEDE07" w14:textId="77777777" w:rsidR="00360968" w:rsidRDefault="00360968">
    <w:pPr>
      <w:pStyle w:val="HeaderFooter"/>
      <w:tabs>
        <w:tab w:val="clear" w:pos="9020"/>
        <w:tab w:val="center" w:pos="4680"/>
        <w:tab w:val="right" w:pos="9340"/>
      </w:tabs>
    </w:pPr>
    <w:r>
      <w:rPr>
        <w:rFonts w:ascii="Times New Roman" w:hAnsi="Times New Roman"/>
      </w:rPr>
      <w:t>Blood Donor Communication and Churn</w:t>
    </w:r>
    <w:r>
      <w:rPr>
        <w:rFonts w:ascii="Times New Roman" w:hAnsi="Times New Roman"/>
      </w:rPr>
      <w:tab/>
    </w:r>
    <w:r>
      <w:rPr>
        <w:rFonts w:ascii="Times New Roman" w:hAnsi="Times New Roman"/>
      </w:rPr>
      <w:tab/>
    </w:r>
    <w:r>
      <w:rPr>
        <w:rFonts w:ascii="Times New Roman" w:eastAsia="Times New Roman" w:hAnsi="Times New Roman" w:cs="Times New Roman"/>
      </w:rPr>
      <w:fldChar w:fldCharType="begin"/>
    </w:r>
    <w:r>
      <w:rPr>
        <w:rFonts w:ascii="Times New Roman" w:eastAsia="Times New Roman" w:hAnsi="Times New Roman" w:cs="Times New Roman"/>
      </w:rPr>
      <w:instrText xml:space="preserve"> PAGE </w:instrText>
    </w:r>
    <w:r>
      <w:rPr>
        <w:rFonts w:ascii="Times New Roman" w:eastAsia="Times New Roman" w:hAnsi="Times New Roman" w:cs="Times New Roman"/>
      </w:rPr>
      <w:fldChar w:fldCharType="separate"/>
    </w:r>
    <w:r w:rsidR="00BB36B3">
      <w:rPr>
        <w:rFonts w:ascii="Times New Roman" w:eastAsia="Times New Roman" w:hAnsi="Times New Roman" w:cs="Times New Roman"/>
        <w:noProof/>
      </w:rPr>
      <w:t>16</w:t>
    </w:r>
    <w:r>
      <w:rPr>
        <w:rFonts w:ascii="Times New Roman" w:eastAsia="Times New Roman" w:hAnsi="Times New Roman" w:cs="Times New Roman"/>
      </w:rPr>
      <w:fldChar w:fldCharType="end"/>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F37AFB"/>
    <w:multiLevelType w:val="hybridMultilevel"/>
    <w:tmpl w:val="0AC0D252"/>
    <w:numStyleLink w:val="Numbered"/>
  </w:abstractNum>
  <w:abstractNum w:abstractNumId="1">
    <w:nsid w:val="419A7736"/>
    <w:multiLevelType w:val="hybridMultilevel"/>
    <w:tmpl w:val="39446D66"/>
    <w:lvl w:ilvl="0" w:tplc="0409000F">
      <w:start w:val="1"/>
      <w:numFmt w:val="decimal"/>
      <w:lvlText w:val="%1."/>
      <w:lvlJc w:val="left"/>
      <w:pPr>
        <w:ind w:left="1080" w:hanging="360"/>
      </w:pPr>
      <w:rPr>
        <w:caps w:val="0"/>
        <w:smallCaps w:val="0"/>
        <w:strike w:val="0"/>
        <w:dstrike w:val="0"/>
        <w:outline w:val="0"/>
        <w:emboss w:val="0"/>
        <w:imprint w:val="0"/>
        <w:spacing w:val="0"/>
        <w:w w:val="100"/>
        <w:kern w:val="0"/>
        <w:position w:val="0"/>
        <w:highlight w:val="none"/>
        <w:vertAlign w:val="baseline"/>
      </w:rPr>
    </w:lvl>
    <w:lvl w:ilvl="1" w:tplc="BF56D91A">
      <w:start w:val="1"/>
      <w:numFmt w:val="decimal"/>
      <w:lvlText w:val="%2."/>
      <w:lvlJc w:val="left"/>
      <w:pPr>
        <w:tabs>
          <w:tab w:val="num" w:pos="1752"/>
        </w:tabs>
        <w:ind w:left="1032" w:firstLine="488"/>
      </w:pPr>
      <w:rPr>
        <w:rFonts w:hAnsi="Arial Unicode MS"/>
        <w:caps w:val="0"/>
        <w:smallCaps w:val="0"/>
        <w:strike w:val="0"/>
        <w:dstrike w:val="0"/>
        <w:outline w:val="0"/>
        <w:emboss w:val="0"/>
        <w:imprint w:val="0"/>
        <w:spacing w:val="0"/>
        <w:w w:val="100"/>
        <w:kern w:val="0"/>
        <w:position w:val="0"/>
        <w:highlight w:val="none"/>
        <w:vertAlign w:val="baseline"/>
      </w:rPr>
    </w:lvl>
    <w:lvl w:ilvl="2" w:tplc="4EDA90F4">
      <w:start w:val="1"/>
      <w:numFmt w:val="decimal"/>
      <w:lvlText w:val="%3."/>
      <w:lvlJc w:val="left"/>
      <w:pPr>
        <w:tabs>
          <w:tab w:val="num" w:pos="2552"/>
        </w:tabs>
        <w:ind w:left="1832" w:firstLine="488"/>
      </w:pPr>
      <w:rPr>
        <w:rFonts w:hAnsi="Arial Unicode MS"/>
        <w:caps w:val="0"/>
        <w:smallCaps w:val="0"/>
        <w:strike w:val="0"/>
        <w:dstrike w:val="0"/>
        <w:outline w:val="0"/>
        <w:emboss w:val="0"/>
        <w:imprint w:val="0"/>
        <w:spacing w:val="0"/>
        <w:w w:val="100"/>
        <w:kern w:val="0"/>
        <w:position w:val="0"/>
        <w:highlight w:val="none"/>
        <w:vertAlign w:val="baseline"/>
      </w:rPr>
    </w:lvl>
    <w:lvl w:ilvl="3" w:tplc="8864E9BE">
      <w:start w:val="1"/>
      <w:numFmt w:val="decimal"/>
      <w:lvlText w:val="%4."/>
      <w:lvlJc w:val="left"/>
      <w:pPr>
        <w:tabs>
          <w:tab w:val="num" w:pos="3352"/>
        </w:tabs>
        <w:ind w:left="2632" w:firstLine="488"/>
      </w:pPr>
      <w:rPr>
        <w:rFonts w:hAnsi="Arial Unicode MS"/>
        <w:caps w:val="0"/>
        <w:smallCaps w:val="0"/>
        <w:strike w:val="0"/>
        <w:dstrike w:val="0"/>
        <w:outline w:val="0"/>
        <w:emboss w:val="0"/>
        <w:imprint w:val="0"/>
        <w:spacing w:val="0"/>
        <w:w w:val="100"/>
        <w:kern w:val="0"/>
        <w:position w:val="0"/>
        <w:highlight w:val="none"/>
        <w:vertAlign w:val="baseline"/>
      </w:rPr>
    </w:lvl>
    <w:lvl w:ilvl="4" w:tplc="E5DCC136">
      <w:start w:val="1"/>
      <w:numFmt w:val="decimal"/>
      <w:lvlText w:val="%5."/>
      <w:lvlJc w:val="left"/>
      <w:pPr>
        <w:tabs>
          <w:tab w:val="num" w:pos="4152"/>
        </w:tabs>
        <w:ind w:left="3432" w:firstLine="488"/>
      </w:pPr>
      <w:rPr>
        <w:rFonts w:hAnsi="Arial Unicode MS"/>
        <w:caps w:val="0"/>
        <w:smallCaps w:val="0"/>
        <w:strike w:val="0"/>
        <w:dstrike w:val="0"/>
        <w:outline w:val="0"/>
        <w:emboss w:val="0"/>
        <w:imprint w:val="0"/>
        <w:spacing w:val="0"/>
        <w:w w:val="100"/>
        <w:kern w:val="0"/>
        <w:position w:val="0"/>
        <w:highlight w:val="none"/>
        <w:vertAlign w:val="baseline"/>
      </w:rPr>
    </w:lvl>
    <w:lvl w:ilvl="5" w:tplc="E292AC7C">
      <w:start w:val="1"/>
      <w:numFmt w:val="decimal"/>
      <w:lvlText w:val="%6."/>
      <w:lvlJc w:val="left"/>
      <w:pPr>
        <w:tabs>
          <w:tab w:val="num" w:pos="4952"/>
        </w:tabs>
        <w:ind w:left="4232" w:firstLine="488"/>
      </w:pPr>
      <w:rPr>
        <w:rFonts w:hAnsi="Arial Unicode MS"/>
        <w:caps w:val="0"/>
        <w:smallCaps w:val="0"/>
        <w:strike w:val="0"/>
        <w:dstrike w:val="0"/>
        <w:outline w:val="0"/>
        <w:emboss w:val="0"/>
        <w:imprint w:val="0"/>
        <w:spacing w:val="0"/>
        <w:w w:val="100"/>
        <w:kern w:val="0"/>
        <w:position w:val="0"/>
        <w:highlight w:val="none"/>
        <w:vertAlign w:val="baseline"/>
      </w:rPr>
    </w:lvl>
    <w:lvl w:ilvl="6" w:tplc="87E4CD32">
      <w:start w:val="1"/>
      <w:numFmt w:val="decimal"/>
      <w:lvlText w:val="%7."/>
      <w:lvlJc w:val="left"/>
      <w:pPr>
        <w:tabs>
          <w:tab w:val="num" w:pos="5752"/>
        </w:tabs>
        <w:ind w:left="5032" w:firstLine="488"/>
      </w:pPr>
      <w:rPr>
        <w:rFonts w:hAnsi="Arial Unicode MS"/>
        <w:caps w:val="0"/>
        <w:smallCaps w:val="0"/>
        <w:strike w:val="0"/>
        <w:dstrike w:val="0"/>
        <w:outline w:val="0"/>
        <w:emboss w:val="0"/>
        <w:imprint w:val="0"/>
        <w:spacing w:val="0"/>
        <w:w w:val="100"/>
        <w:kern w:val="0"/>
        <w:position w:val="0"/>
        <w:highlight w:val="none"/>
        <w:vertAlign w:val="baseline"/>
      </w:rPr>
    </w:lvl>
    <w:lvl w:ilvl="7" w:tplc="81C6F45A">
      <w:start w:val="1"/>
      <w:numFmt w:val="decimal"/>
      <w:lvlText w:val="%8."/>
      <w:lvlJc w:val="left"/>
      <w:pPr>
        <w:tabs>
          <w:tab w:val="num" w:pos="6552"/>
        </w:tabs>
        <w:ind w:left="5832" w:firstLine="488"/>
      </w:pPr>
      <w:rPr>
        <w:rFonts w:hAnsi="Arial Unicode MS"/>
        <w:caps w:val="0"/>
        <w:smallCaps w:val="0"/>
        <w:strike w:val="0"/>
        <w:dstrike w:val="0"/>
        <w:outline w:val="0"/>
        <w:emboss w:val="0"/>
        <w:imprint w:val="0"/>
        <w:spacing w:val="0"/>
        <w:w w:val="100"/>
        <w:kern w:val="0"/>
        <w:position w:val="0"/>
        <w:highlight w:val="none"/>
        <w:vertAlign w:val="baseline"/>
      </w:rPr>
    </w:lvl>
    <w:lvl w:ilvl="8" w:tplc="A9082B98">
      <w:start w:val="1"/>
      <w:numFmt w:val="decimal"/>
      <w:lvlText w:val="%9."/>
      <w:lvlJc w:val="left"/>
      <w:pPr>
        <w:tabs>
          <w:tab w:val="num" w:pos="7352"/>
        </w:tabs>
        <w:ind w:left="6632" w:firstLine="488"/>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nsid w:val="63FF0045"/>
    <w:multiLevelType w:val="hybridMultilevel"/>
    <w:tmpl w:val="0AC0D252"/>
    <w:styleLink w:val="Numbered"/>
    <w:lvl w:ilvl="0" w:tplc="3EEC7046">
      <w:start w:val="1"/>
      <w:numFmt w:val="decimal"/>
      <w:lvlText w:val="%1."/>
      <w:lvlJc w:val="left"/>
      <w:pPr>
        <w:tabs>
          <w:tab w:val="num" w:pos="952"/>
        </w:tabs>
        <w:ind w:left="232" w:firstLine="488"/>
      </w:pPr>
      <w:rPr>
        <w:rFonts w:hAnsi="Arial Unicode MS"/>
        <w:caps w:val="0"/>
        <w:smallCaps w:val="0"/>
        <w:strike w:val="0"/>
        <w:dstrike w:val="0"/>
        <w:outline w:val="0"/>
        <w:emboss w:val="0"/>
        <w:imprint w:val="0"/>
        <w:spacing w:val="0"/>
        <w:w w:val="100"/>
        <w:kern w:val="0"/>
        <w:position w:val="0"/>
        <w:highlight w:val="none"/>
        <w:vertAlign w:val="baseline"/>
      </w:rPr>
    </w:lvl>
    <w:lvl w:ilvl="1" w:tplc="9ABC8AC6">
      <w:start w:val="1"/>
      <w:numFmt w:val="decimal"/>
      <w:lvlText w:val="%2."/>
      <w:lvlJc w:val="left"/>
      <w:pPr>
        <w:tabs>
          <w:tab w:val="num" w:pos="1752"/>
        </w:tabs>
        <w:ind w:left="1032" w:firstLine="488"/>
      </w:pPr>
      <w:rPr>
        <w:rFonts w:hAnsi="Arial Unicode MS"/>
        <w:caps w:val="0"/>
        <w:smallCaps w:val="0"/>
        <w:strike w:val="0"/>
        <w:dstrike w:val="0"/>
        <w:outline w:val="0"/>
        <w:emboss w:val="0"/>
        <w:imprint w:val="0"/>
        <w:spacing w:val="0"/>
        <w:w w:val="100"/>
        <w:kern w:val="0"/>
        <w:position w:val="0"/>
        <w:highlight w:val="none"/>
        <w:vertAlign w:val="baseline"/>
      </w:rPr>
    </w:lvl>
    <w:lvl w:ilvl="2" w:tplc="47ACFA80">
      <w:start w:val="1"/>
      <w:numFmt w:val="decimal"/>
      <w:lvlText w:val="%3."/>
      <w:lvlJc w:val="left"/>
      <w:pPr>
        <w:tabs>
          <w:tab w:val="num" w:pos="2552"/>
        </w:tabs>
        <w:ind w:left="1832" w:firstLine="488"/>
      </w:pPr>
      <w:rPr>
        <w:rFonts w:hAnsi="Arial Unicode MS"/>
        <w:caps w:val="0"/>
        <w:smallCaps w:val="0"/>
        <w:strike w:val="0"/>
        <w:dstrike w:val="0"/>
        <w:outline w:val="0"/>
        <w:emboss w:val="0"/>
        <w:imprint w:val="0"/>
        <w:spacing w:val="0"/>
        <w:w w:val="100"/>
        <w:kern w:val="0"/>
        <w:position w:val="0"/>
        <w:highlight w:val="none"/>
        <w:vertAlign w:val="baseline"/>
      </w:rPr>
    </w:lvl>
    <w:lvl w:ilvl="3" w:tplc="CA4673D8">
      <w:start w:val="1"/>
      <w:numFmt w:val="decimal"/>
      <w:lvlText w:val="%4."/>
      <w:lvlJc w:val="left"/>
      <w:pPr>
        <w:tabs>
          <w:tab w:val="num" w:pos="3352"/>
        </w:tabs>
        <w:ind w:left="2632" w:firstLine="488"/>
      </w:pPr>
      <w:rPr>
        <w:rFonts w:hAnsi="Arial Unicode MS"/>
        <w:caps w:val="0"/>
        <w:smallCaps w:val="0"/>
        <w:strike w:val="0"/>
        <w:dstrike w:val="0"/>
        <w:outline w:val="0"/>
        <w:emboss w:val="0"/>
        <w:imprint w:val="0"/>
        <w:spacing w:val="0"/>
        <w:w w:val="100"/>
        <w:kern w:val="0"/>
        <w:position w:val="0"/>
        <w:highlight w:val="none"/>
        <w:vertAlign w:val="baseline"/>
      </w:rPr>
    </w:lvl>
    <w:lvl w:ilvl="4" w:tplc="89CE4210">
      <w:start w:val="1"/>
      <w:numFmt w:val="decimal"/>
      <w:lvlText w:val="%5."/>
      <w:lvlJc w:val="left"/>
      <w:pPr>
        <w:tabs>
          <w:tab w:val="num" w:pos="4152"/>
        </w:tabs>
        <w:ind w:left="3432" w:firstLine="488"/>
      </w:pPr>
      <w:rPr>
        <w:rFonts w:hAnsi="Arial Unicode MS"/>
        <w:caps w:val="0"/>
        <w:smallCaps w:val="0"/>
        <w:strike w:val="0"/>
        <w:dstrike w:val="0"/>
        <w:outline w:val="0"/>
        <w:emboss w:val="0"/>
        <w:imprint w:val="0"/>
        <w:spacing w:val="0"/>
        <w:w w:val="100"/>
        <w:kern w:val="0"/>
        <w:position w:val="0"/>
        <w:highlight w:val="none"/>
        <w:vertAlign w:val="baseline"/>
      </w:rPr>
    </w:lvl>
    <w:lvl w:ilvl="5" w:tplc="B8D44718">
      <w:start w:val="1"/>
      <w:numFmt w:val="decimal"/>
      <w:lvlText w:val="%6."/>
      <w:lvlJc w:val="left"/>
      <w:pPr>
        <w:tabs>
          <w:tab w:val="num" w:pos="4952"/>
        </w:tabs>
        <w:ind w:left="4232" w:firstLine="488"/>
      </w:pPr>
      <w:rPr>
        <w:rFonts w:hAnsi="Arial Unicode MS"/>
        <w:caps w:val="0"/>
        <w:smallCaps w:val="0"/>
        <w:strike w:val="0"/>
        <w:dstrike w:val="0"/>
        <w:outline w:val="0"/>
        <w:emboss w:val="0"/>
        <w:imprint w:val="0"/>
        <w:spacing w:val="0"/>
        <w:w w:val="100"/>
        <w:kern w:val="0"/>
        <w:position w:val="0"/>
        <w:highlight w:val="none"/>
        <w:vertAlign w:val="baseline"/>
      </w:rPr>
    </w:lvl>
    <w:lvl w:ilvl="6" w:tplc="DF4E419A">
      <w:start w:val="1"/>
      <w:numFmt w:val="decimal"/>
      <w:lvlText w:val="%7."/>
      <w:lvlJc w:val="left"/>
      <w:pPr>
        <w:tabs>
          <w:tab w:val="num" w:pos="5752"/>
        </w:tabs>
        <w:ind w:left="5032" w:firstLine="488"/>
      </w:pPr>
      <w:rPr>
        <w:rFonts w:hAnsi="Arial Unicode MS"/>
        <w:caps w:val="0"/>
        <w:smallCaps w:val="0"/>
        <w:strike w:val="0"/>
        <w:dstrike w:val="0"/>
        <w:outline w:val="0"/>
        <w:emboss w:val="0"/>
        <w:imprint w:val="0"/>
        <w:spacing w:val="0"/>
        <w:w w:val="100"/>
        <w:kern w:val="0"/>
        <w:position w:val="0"/>
        <w:highlight w:val="none"/>
        <w:vertAlign w:val="baseline"/>
      </w:rPr>
    </w:lvl>
    <w:lvl w:ilvl="7" w:tplc="20C0D228">
      <w:start w:val="1"/>
      <w:numFmt w:val="decimal"/>
      <w:lvlText w:val="%8."/>
      <w:lvlJc w:val="left"/>
      <w:pPr>
        <w:tabs>
          <w:tab w:val="num" w:pos="6552"/>
        </w:tabs>
        <w:ind w:left="5832" w:firstLine="488"/>
      </w:pPr>
      <w:rPr>
        <w:rFonts w:hAnsi="Arial Unicode MS"/>
        <w:caps w:val="0"/>
        <w:smallCaps w:val="0"/>
        <w:strike w:val="0"/>
        <w:dstrike w:val="0"/>
        <w:outline w:val="0"/>
        <w:emboss w:val="0"/>
        <w:imprint w:val="0"/>
        <w:spacing w:val="0"/>
        <w:w w:val="100"/>
        <w:kern w:val="0"/>
        <w:position w:val="0"/>
        <w:highlight w:val="none"/>
        <w:vertAlign w:val="baseline"/>
      </w:rPr>
    </w:lvl>
    <w:lvl w:ilvl="8" w:tplc="C6BA4E48">
      <w:start w:val="1"/>
      <w:numFmt w:val="decimal"/>
      <w:lvlText w:val="%9."/>
      <w:lvlJc w:val="left"/>
      <w:pPr>
        <w:tabs>
          <w:tab w:val="num" w:pos="7352"/>
        </w:tabs>
        <w:ind w:left="6632" w:firstLine="488"/>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2"/>
  <w:proofState w:spelling="clean" w:grammar="clean"/>
  <w:defaultTabStop w:val="720"/>
  <w:autoHyphenation/>
  <w:characterSpacingControl w:val="doNotCompress"/>
  <w:footnotePr>
    <w:footnote w:id="-1"/>
    <w:footnote w:id="0"/>
    <w:footnote w:id="1"/>
  </w:footnotePr>
  <w:endnotePr>
    <w:endnote w:id="-1"/>
    <w:endnote w:id="0"/>
  </w:endnotePr>
  <w:compat>
    <w:useFELayout/>
    <w:compatSetting w:name="compatibilityMode" w:uri="http://schemas.microsoft.com/office/word" w:val="14"/>
  </w:compat>
  <w:rsids>
    <w:rsidRoot w:val="008E3600"/>
    <w:rsid w:val="000759AD"/>
    <w:rsid w:val="001C56F0"/>
    <w:rsid w:val="00202D1A"/>
    <w:rsid w:val="00224836"/>
    <w:rsid w:val="00356003"/>
    <w:rsid w:val="00360968"/>
    <w:rsid w:val="00465522"/>
    <w:rsid w:val="00487A0A"/>
    <w:rsid w:val="004B6632"/>
    <w:rsid w:val="005020BD"/>
    <w:rsid w:val="006111CA"/>
    <w:rsid w:val="00690405"/>
    <w:rsid w:val="008E3600"/>
    <w:rsid w:val="009A2742"/>
    <w:rsid w:val="00A14DFC"/>
    <w:rsid w:val="00A50E7D"/>
    <w:rsid w:val="00B873DF"/>
    <w:rsid w:val="00BA2544"/>
    <w:rsid w:val="00BB36B3"/>
    <w:rsid w:val="00BE3B1C"/>
    <w:rsid w:val="00C07D1B"/>
    <w:rsid w:val="00CA5319"/>
    <w:rsid w:val="00E14C00"/>
    <w:rsid w:val="00F26E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F471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u w:color="000000"/>
    </w:rPr>
  </w:style>
  <w:style w:type="paragraph" w:customStyle="1" w:styleId="BodyA">
    <w:name w:val="Body A"/>
    <w:rPr>
      <w:rFonts w:ascii="Helvetica" w:eastAsia="Helvetica" w:hAnsi="Helvetica" w:cs="Helvetica"/>
      <w:color w:val="000000"/>
      <w:sz w:val="22"/>
      <w:szCs w:val="22"/>
      <w:u w:color="000000"/>
    </w:rPr>
  </w:style>
  <w:style w:type="paragraph" w:customStyle="1" w:styleId="Body">
    <w:name w:val="Body"/>
    <w:rPr>
      <w:rFonts w:cs="Arial Unicode MS"/>
      <w:color w:val="000000"/>
      <w:sz w:val="24"/>
      <w:szCs w:val="24"/>
      <w:u w:color="000000"/>
    </w:rPr>
  </w:style>
  <w:style w:type="paragraph" w:customStyle="1" w:styleId="Footnote">
    <w:name w:val="Footnote"/>
    <w:rPr>
      <w:rFonts w:ascii="Helvetica" w:eastAsia="Helvetica" w:hAnsi="Helvetica" w:cs="Helvetica"/>
      <w:color w:val="000000"/>
      <w:sz w:val="22"/>
      <w:szCs w:val="22"/>
      <w:u w:color="000000"/>
    </w:rPr>
  </w:style>
  <w:style w:type="paragraph" w:customStyle="1" w:styleId="BodyB">
    <w:name w:val="Body B"/>
    <w:rPr>
      <w:rFonts w:cs="Arial Unicode MS"/>
      <w:color w:val="000000"/>
      <w:sz w:val="24"/>
      <w:szCs w:val="24"/>
      <w:u w:color="000000"/>
    </w:rPr>
  </w:style>
  <w:style w:type="paragraph" w:customStyle="1" w:styleId="Default">
    <w:name w:val="Default"/>
    <w:rPr>
      <w:rFonts w:ascii="Helvetica" w:hAnsi="Helvetica" w:cs="Arial Unicode MS"/>
      <w:color w:val="000000"/>
      <w:sz w:val="22"/>
      <w:szCs w:val="22"/>
      <w:u w:color="000000"/>
    </w:rPr>
  </w:style>
  <w:style w:type="numbering" w:customStyle="1" w:styleId="Numbered">
    <w:name w:val="Numbered"/>
    <w:pPr>
      <w:numPr>
        <w:numId w:val="1"/>
      </w:numPr>
    </w:pPr>
  </w:style>
  <w:style w:type="paragraph" w:styleId="BalloonText">
    <w:name w:val="Balloon Text"/>
    <w:basedOn w:val="Normal"/>
    <w:link w:val="BalloonTextChar"/>
    <w:uiPriority w:val="99"/>
    <w:semiHidden/>
    <w:unhideWhenUsed/>
    <w:rsid w:val="0022483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24836"/>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u w:color="000000"/>
    </w:rPr>
  </w:style>
  <w:style w:type="paragraph" w:customStyle="1" w:styleId="BodyA">
    <w:name w:val="Body A"/>
    <w:rPr>
      <w:rFonts w:ascii="Helvetica" w:eastAsia="Helvetica" w:hAnsi="Helvetica" w:cs="Helvetica"/>
      <w:color w:val="000000"/>
      <w:sz w:val="22"/>
      <w:szCs w:val="22"/>
      <w:u w:color="000000"/>
    </w:rPr>
  </w:style>
  <w:style w:type="paragraph" w:customStyle="1" w:styleId="Body">
    <w:name w:val="Body"/>
    <w:rPr>
      <w:rFonts w:cs="Arial Unicode MS"/>
      <w:color w:val="000000"/>
      <w:sz w:val="24"/>
      <w:szCs w:val="24"/>
      <w:u w:color="000000"/>
    </w:rPr>
  </w:style>
  <w:style w:type="paragraph" w:customStyle="1" w:styleId="Footnote">
    <w:name w:val="Footnote"/>
    <w:rPr>
      <w:rFonts w:ascii="Helvetica" w:eastAsia="Helvetica" w:hAnsi="Helvetica" w:cs="Helvetica"/>
      <w:color w:val="000000"/>
      <w:sz w:val="22"/>
      <w:szCs w:val="22"/>
      <w:u w:color="000000"/>
    </w:rPr>
  </w:style>
  <w:style w:type="paragraph" w:customStyle="1" w:styleId="BodyB">
    <w:name w:val="Body B"/>
    <w:rPr>
      <w:rFonts w:cs="Arial Unicode MS"/>
      <w:color w:val="000000"/>
      <w:sz w:val="24"/>
      <w:szCs w:val="24"/>
      <w:u w:color="000000"/>
    </w:rPr>
  </w:style>
  <w:style w:type="paragraph" w:customStyle="1" w:styleId="Default">
    <w:name w:val="Default"/>
    <w:rPr>
      <w:rFonts w:ascii="Helvetica" w:hAnsi="Helvetica" w:cs="Arial Unicode MS"/>
      <w:color w:val="000000"/>
      <w:sz w:val="22"/>
      <w:szCs w:val="22"/>
      <w:u w:color="000000"/>
    </w:rPr>
  </w:style>
  <w:style w:type="numbering" w:customStyle="1" w:styleId="Numbered">
    <w:name w:val="Numbered"/>
    <w:pPr>
      <w:numPr>
        <w:numId w:val="1"/>
      </w:numPr>
    </w:pPr>
  </w:style>
  <w:style w:type="paragraph" w:styleId="BalloonText">
    <w:name w:val="Balloon Text"/>
    <w:basedOn w:val="Normal"/>
    <w:link w:val="BalloonTextChar"/>
    <w:uiPriority w:val="99"/>
    <w:semiHidden/>
    <w:unhideWhenUsed/>
    <w:rsid w:val="0022483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24836"/>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18</Pages>
  <Words>4457</Words>
  <Characters>25406</Characters>
  <Application>Microsoft Macintosh Word</Application>
  <DocSecurity>0</DocSecurity>
  <Lines>211</Lines>
  <Paragraphs>59</Paragraphs>
  <ScaleCrop>false</ScaleCrop>
  <Company>Blood Assurance</Company>
  <LinksUpToDate>false</LinksUpToDate>
  <CharactersWithSpaces>29804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Jeffery Combs</cp:lastModifiedBy>
  <cp:revision>12</cp:revision>
  <cp:lastPrinted>2015-12-22T21:50:00Z</cp:lastPrinted>
  <dcterms:created xsi:type="dcterms:W3CDTF">2015-12-23T02:26:00Z</dcterms:created>
  <dcterms:modified xsi:type="dcterms:W3CDTF">2015-12-23T03:14:00Z</dcterms:modified>
</cp:coreProperties>
</file>